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  </w:t>
      </w:r>
    </w:p>
    <w:p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eastAsia="Arial" w:cs="Arial"/>
          <w:b/>
          <w:color w:val="000000"/>
          <w:sz w:val="26"/>
          <w:szCs w:val="26"/>
        </w:rPr>
        <w:t xml:space="preserve">RELATÓRIO </w:t>
      </w:r>
    </w:p>
    <w:p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eastAsia="Arial" w:cs="Arial"/>
          <w:b/>
          <w:color w:val="000000"/>
          <w:sz w:val="26"/>
          <w:szCs w:val="26"/>
        </w:rPr>
        <w:t>Projeto de Lei nº 120 de 2022</w:t>
      </w:r>
    </w:p>
    <w:p>
      <w:pPr>
        <w:spacing w:line="276" w:lineRule="auto"/>
        <w:rPr>
          <w:rFonts w:ascii="Times New Roman" w:eastAsia="Arial" w:hAnsi="Times New Roman" w:cs="Arial"/>
          <w:color w:val="000000"/>
          <w:sz w:val="24"/>
          <w:szCs w:val="24"/>
        </w:rPr>
      </w:pPr>
    </w:p>
    <w:p>
      <w:pPr>
        <w:spacing w:line="276" w:lineRule="auto"/>
        <w:jc w:val="both"/>
        <w:rPr>
          <w:rFonts w:ascii="Times New Roman" w:hAnsi="Times New Roman"/>
        </w:rPr>
      </w:pPr>
      <w:r>
        <w:rPr>
          <w:rFonts w:eastAsia="Arial" w:cs="Arial"/>
          <w:sz w:val="24"/>
          <w:szCs w:val="24"/>
        </w:rPr>
        <w:t xml:space="preserve"> </w:t>
      </w:r>
      <w:r>
        <w:rPr>
          <w:rFonts w:eastAsia="Arial" w:cs="Arial"/>
          <w:sz w:val="24"/>
          <w:szCs w:val="24"/>
        </w:rPr>
        <w:tab/>
      </w:r>
      <w:r>
        <w:rPr>
          <w:rFonts w:eastAsia="Arial" w:cs="Arial"/>
          <w:color w:val="000000"/>
          <w:sz w:val="24"/>
          <w:szCs w:val="24"/>
        </w:rPr>
        <w:t>Conforme determinam os artigos 35 e 37</w:t>
      </w:r>
      <w:r>
        <w:rPr>
          <w:rFonts w:eastAsia="Arial" w:cs="Arial"/>
          <w:sz w:val="24"/>
          <w:szCs w:val="24"/>
        </w:rPr>
        <w:t>, combinados com o artigo 45</w:t>
      </w:r>
      <w:r>
        <w:rPr>
          <w:rFonts w:eastAsia="Arial" w:cs="Arial"/>
          <w:color w:val="000000"/>
          <w:sz w:val="24"/>
          <w:szCs w:val="24"/>
        </w:rPr>
        <w:t xml:space="preserve"> da Resolução 276 de 09 de novembro de 2010 – Regimento Interno da Câmara Municipal, a </w:t>
      </w:r>
      <w:r>
        <w:rPr>
          <w:rFonts w:eastAsia="Arial" w:cs="Arial"/>
          <w:sz w:val="24"/>
          <w:szCs w:val="24"/>
        </w:rPr>
        <w:t>Comissão</w:t>
      </w:r>
      <w:r>
        <w:rPr>
          <w:rFonts w:eastAsia="Arial" w:cs="Arial"/>
          <w:color w:val="000000"/>
          <w:sz w:val="24"/>
          <w:szCs w:val="24"/>
        </w:rPr>
        <w:t xml:space="preserve"> Permanente de Justiça e Redação, em conjunto c</w:t>
      </w:r>
      <w:r>
        <w:rPr>
          <w:rFonts w:eastAsia="Arial" w:cs="Arial"/>
          <w:sz w:val="24"/>
          <w:szCs w:val="24"/>
        </w:rPr>
        <w:t xml:space="preserve">om a Comissão Permanente de Finanças e Orçamento emitem o presente Relatório </w:t>
      </w:r>
      <w:r>
        <w:rPr>
          <w:rFonts w:eastAsia="Arial" w:cs="Arial"/>
          <w:color w:val="000000"/>
          <w:sz w:val="24"/>
          <w:szCs w:val="24"/>
        </w:rPr>
        <w:t>acerca do Projeto de Lei nº 120</w:t>
      </w:r>
      <w:r>
        <w:rPr>
          <w:rFonts w:eastAsia="Arial" w:cs="Arial"/>
          <w:sz w:val="24"/>
          <w:szCs w:val="24"/>
        </w:rPr>
        <w:t xml:space="preserve"> de </w:t>
      </w:r>
      <w:r>
        <w:rPr>
          <w:rFonts w:eastAsia="Arial" w:cs="Arial"/>
          <w:color w:val="000000"/>
          <w:sz w:val="24"/>
          <w:szCs w:val="24"/>
        </w:rPr>
        <w:t xml:space="preserve">2022, de autoria do Poder Executivo, sob </w:t>
      </w:r>
      <w:r>
        <w:rPr>
          <w:rFonts w:eastAsia="Arial" w:cs="Arial"/>
          <w:b w:val="0"/>
          <w:bCs w:val="0"/>
          <w:color w:val="000000"/>
          <w:sz w:val="24"/>
          <w:szCs w:val="24"/>
        </w:rPr>
        <w:t>a</w:t>
      </w:r>
      <w:r>
        <w:rPr>
          <w:rFonts w:eastAsia="Arial" w:cs="Arial"/>
          <w:b/>
          <w:color w:val="000000"/>
          <w:sz w:val="24"/>
          <w:szCs w:val="24"/>
        </w:rPr>
        <w:t xml:space="preserve"> relatoria </w:t>
      </w:r>
      <w:r>
        <w:rPr>
          <w:rFonts w:eastAsia="Arial" w:cs="Arial"/>
          <w:b/>
          <w:sz w:val="24"/>
          <w:szCs w:val="24"/>
        </w:rPr>
        <w:t>d</w:t>
      </w:r>
      <w:r>
        <w:rPr>
          <w:rFonts w:eastAsia="Arial" w:cs="Arial"/>
          <w:b/>
          <w:color w:val="000000"/>
          <w:sz w:val="24"/>
          <w:szCs w:val="24"/>
        </w:rPr>
        <w:t xml:space="preserve">a vereadora Lúcia Maria Ferreira Tenório. </w:t>
      </w:r>
    </w:p>
    <w:p>
      <w:pPr>
        <w:spacing w:line="276" w:lineRule="auto"/>
        <w:jc w:val="both"/>
        <w:rPr>
          <w:rFonts w:ascii="Times New Roman" w:eastAsia="Arial" w:hAnsi="Times New Roman" w:cs="Arial"/>
          <w:b/>
          <w:color w:val="000000"/>
          <w:sz w:val="24"/>
          <w:szCs w:val="24"/>
        </w:rPr>
      </w:pPr>
    </w:p>
    <w:p>
      <w:pPr>
        <w:spacing w:line="276" w:lineRule="auto"/>
        <w:jc w:val="both"/>
        <w:rPr>
          <w:rFonts w:ascii="Times New Roman" w:hAnsi="Times New Roman"/>
        </w:rPr>
      </w:pPr>
      <w:r>
        <w:rPr>
          <w:rFonts w:eastAsia="Arial" w:cs="Arial"/>
          <w:b/>
          <w:color w:val="000000"/>
          <w:sz w:val="24"/>
          <w:szCs w:val="24"/>
        </w:rPr>
        <w:t>I. Exposição da Matéria</w:t>
      </w:r>
    </w:p>
    <w:p>
      <w:pPr>
        <w:spacing w:line="276" w:lineRule="auto"/>
        <w:ind w:left="0" w:right="0" w:firstLine="709"/>
        <w:jc w:val="both"/>
        <w:rPr>
          <w:rFonts w:ascii="Times New Roman" w:eastAsia="Arial" w:hAnsi="Times New Roman" w:cs="Arial"/>
          <w:color w:val="000000"/>
        </w:rPr>
      </w:pPr>
    </w:p>
    <w:p>
      <w:pPr>
        <w:spacing w:line="276" w:lineRule="auto"/>
        <w:ind w:left="0" w:right="0" w:firstLine="709"/>
        <w:jc w:val="both"/>
        <w:rPr>
          <w:rFonts w:ascii="Times New Roman" w:hAnsi="Times New Roman"/>
        </w:rPr>
      </w:pPr>
      <w:r>
        <w:rPr>
          <w:rFonts w:eastAsia="Arial" w:cs="Arial"/>
          <w:color w:val="000000"/>
          <w:sz w:val="24"/>
          <w:szCs w:val="24"/>
        </w:rPr>
        <w:t>O excelentíssimo senhor prefeito Paulo de Oliveira e Silva encaminha a esta Casa de Leis o Projeto de Lei nº 120</w:t>
      </w:r>
      <w:r>
        <w:rPr>
          <w:rFonts w:eastAsia="Arial" w:cs="Arial"/>
          <w:sz w:val="24"/>
          <w:szCs w:val="24"/>
        </w:rPr>
        <w:t xml:space="preserve"> de </w:t>
      </w:r>
      <w:r>
        <w:rPr>
          <w:rFonts w:eastAsia="Arial" w:cs="Arial"/>
          <w:color w:val="000000"/>
          <w:sz w:val="24"/>
          <w:szCs w:val="24"/>
        </w:rPr>
        <w:t>2022, que</w:t>
      </w:r>
      <w:r>
        <w:rPr>
          <w:rFonts w:eastAsia="Arial" w:cs="Arial"/>
          <w:b/>
          <w:color w:val="000000"/>
          <w:sz w:val="24"/>
          <w:szCs w:val="24"/>
        </w:rPr>
        <w:t xml:space="preserve"> </w:t>
      </w:r>
      <w:r>
        <w:rPr>
          <w:rFonts w:eastAsia="Arial" w:cs="Arial"/>
          <w:b/>
          <w:bCs/>
          <w:color w:val="000000"/>
          <w:sz w:val="24"/>
          <w:szCs w:val="24"/>
        </w:rPr>
        <w:t>“Dispõe sobre prorrogação de prazos estabelecidos na Lei Municipal nº 6.359, de 07 de outubro de 2021, que autoriza o Serviço Autônomo de Água e Esgotos de Mogi Mirim (SAAE) a realizar acordo técnico com as Empresas PROMOVAL 07 EMPREENDIMENTOS IMOBILIÁRIOS SPE LTDA. E PROMOVAL SPE 10 VILLA FRANCESA LTDA. E PROMOVAL SPE 10 VILLA FRANCESA LTDA.</w:t>
      </w:r>
      <w:r>
        <w:rPr>
          <w:rFonts w:eastAsia="Arial" w:cs="Arial"/>
          <w:b/>
          <w:bCs/>
          <w:i/>
          <w:iCs/>
          <w:color w:val="000000"/>
          <w:sz w:val="24"/>
          <w:szCs w:val="24"/>
        </w:rPr>
        <w:t>”.</w:t>
      </w:r>
    </w:p>
    <w:p>
      <w:pPr>
        <w:spacing w:line="276" w:lineRule="auto"/>
        <w:ind w:left="0" w:right="0" w:firstLine="709"/>
        <w:jc w:val="both"/>
        <w:rPr>
          <w:rFonts w:ascii="Times New Roman" w:hAnsi="Times New Roman"/>
        </w:rPr>
      </w:pPr>
    </w:p>
    <w:p>
      <w:pPr>
        <w:spacing w:line="276" w:lineRule="auto"/>
        <w:ind w:left="0" w:right="0" w:firstLine="709"/>
        <w:jc w:val="both"/>
        <w:rPr>
          <w:rFonts w:ascii="Times New Roman" w:hAnsi="Times New Roman"/>
        </w:rPr>
      </w:pPr>
      <w:r>
        <w:rPr>
          <w:rFonts w:eastAsia="Arial" w:cs="Arial"/>
          <w:sz w:val="24"/>
          <w:szCs w:val="24"/>
        </w:rPr>
        <w:t>A referida matéria busca a autorização legislativa desta Casa de Leis, para que sejam alterados dispositivos da Lei Municipal nº 6.359/21, visando a prorrogação de prazos fixados naquele ordenamento jurídico.</w:t>
      </w:r>
    </w:p>
    <w:p>
      <w:pPr>
        <w:spacing w:line="276" w:lineRule="auto"/>
        <w:ind w:left="0" w:right="0" w:firstLine="709"/>
        <w:jc w:val="both"/>
        <w:rPr>
          <w:rFonts w:ascii="Times New Roman" w:eastAsia="Arial" w:hAnsi="Times New Roman" w:cs="Arial"/>
          <w:sz w:val="24"/>
          <w:szCs w:val="24"/>
        </w:rPr>
      </w:pPr>
    </w:p>
    <w:p>
      <w:pPr>
        <w:spacing w:line="276" w:lineRule="auto"/>
        <w:jc w:val="both"/>
        <w:rPr>
          <w:rFonts w:ascii="Times New Roman" w:hAnsi="Times New Roman"/>
        </w:rPr>
      </w:pPr>
      <w:r>
        <w:rPr>
          <w:rFonts w:eastAsia="Arial" w:cs="Arial"/>
          <w:b/>
          <w:color w:val="000000"/>
          <w:sz w:val="24"/>
          <w:szCs w:val="24"/>
        </w:rPr>
        <w:t>II. Do mérito e conclusões do relator</w:t>
      </w:r>
    </w:p>
    <w:p>
      <w:pPr>
        <w:spacing w:line="276" w:lineRule="auto"/>
        <w:jc w:val="both"/>
        <w:rPr>
          <w:rFonts w:ascii="Times New Roman" w:eastAsia="Arial" w:hAnsi="Times New Roman" w:cs="Arial"/>
          <w:color w:val="000000"/>
        </w:rPr>
      </w:pPr>
    </w:p>
    <w:p>
      <w:pPr>
        <w:spacing w:line="276" w:lineRule="auto"/>
        <w:jc w:val="both"/>
        <w:rPr>
          <w:rFonts w:ascii="Times New Roman" w:hAnsi="Times New Roman"/>
        </w:rPr>
      </w:pPr>
      <w:r>
        <w:rPr>
          <w:rFonts w:eastAsia="Arial" w:cs="Arial"/>
          <w:color w:val="000000"/>
          <w:sz w:val="24"/>
          <w:szCs w:val="24"/>
        </w:rPr>
        <w:tab/>
        <w:t>Inicialmente, verifica-se tratar-se de assunto de competência legislativa do Município, conforme determina o artigo 30, inciso I da Constituição Federal, que dispõem sobre</w:t>
      </w:r>
      <w:r>
        <w:rPr>
          <w:rFonts w:eastAsia="Arial" w:cs="Arial"/>
          <w:sz w:val="24"/>
          <w:szCs w:val="24"/>
        </w:rPr>
        <w:t>:</w:t>
      </w:r>
    </w:p>
    <w:p>
      <w:pPr>
        <w:shd w:val="clear" w:color="auto" w:fill="FFFFFF"/>
        <w:spacing w:before="200" w:after="200" w:line="276" w:lineRule="auto"/>
        <w:ind w:left="2880" w:right="0" w:firstLine="578"/>
        <w:contextualSpacing/>
        <w:jc w:val="both"/>
        <w:rPr>
          <w:rFonts w:eastAsia="Arial" w:cs="Arial"/>
          <w:i/>
          <w:sz w:val="24"/>
          <w:szCs w:val="24"/>
        </w:rPr>
      </w:pPr>
    </w:p>
    <w:p>
      <w:pPr>
        <w:shd w:val="clear" w:color="auto" w:fill="FFFFFF"/>
        <w:spacing w:before="200" w:after="200" w:line="276" w:lineRule="auto"/>
        <w:ind w:left="3600" w:right="0" w:firstLine="578"/>
        <w:contextualSpacing/>
        <w:jc w:val="both"/>
        <w:rPr>
          <w:rFonts w:ascii="Times New Roman" w:hAnsi="Times New Roman"/>
        </w:rPr>
      </w:pPr>
      <w:r>
        <w:rPr>
          <w:rFonts w:eastAsia="Arial" w:cs="Arial"/>
          <w:i/>
          <w:sz w:val="24"/>
          <w:szCs w:val="24"/>
        </w:rPr>
        <w:t>“</w:t>
      </w:r>
      <w:r>
        <w:rPr>
          <w:rFonts w:eastAsia="Arial" w:cs="Arial"/>
          <w:i/>
          <w:sz w:val="24"/>
          <w:szCs w:val="24"/>
        </w:rPr>
        <w:t>Art. 30. Compete aos Municípios:</w:t>
      </w:r>
    </w:p>
    <w:p>
      <w:pPr>
        <w:shd w:val="clear" w:color="auto" w:fill="FFFFFF"/>
        <w:spacing w:before="200" w:after="200" w:line="276" w:lineRule="auto"/>
        <w:ind w:left="3600" w:right="0" w:firstLine="578"/>
        <w:contextualSpacing/>
        <w:jc w:val="both"/>
        <w:rPr>
          <w:rFonts w:ascii="Times New Roman" w:hAnsi="Times New Roman"/>
        </w:rPr>
      </w:pPr>
      <w:r>
        <w:rPr>
          <w:rFonts w:eastAsia="Arial" w:cs="Arial"/>
          <w:i/>
          <w:sz w:val="24"/>
          <w:szCs w:val="24"/>
        </w:rPr>
        <w:t>I - legislar sobre assuntos de interesse local;</w:t>
      </w:r>
    </w:p>
    <w:p>
      <w:pPr>
        <w:shd w:val="clear" w:color="auto" w:fill="FFFFFF"/>
        <w:spacing w:before="240" w:after="240" w:line="276" w:lineRule="auto"/>
        <w:ind w:left="0" w:right="0" w:firstLine="720"/>
        <w:jc w:val="both"/>
        <w:rPr>
          <w:rFonts w:ascii="Times New Roman" w:hAnsi="Times New Roman"/>
        </w:rPr>
      </w:pPr>
      <w:r>
        <w:rPr>
          <w:rFonts w:eastAsia="Arial" w:cs="Arial"/>
          <w:sz w:val="24"/>
          <w:szCs w:val="24"/>
        </w:rPr>
        <w:t>A propositura respeita a iniciativa privativa do Chefe do Poder Executivo, conforme determina art. 51 da Lei Orgânica do Município.</w:t>
      </w:r>
    </w:p>
    <w:p>
      <w:pPr>
        <w:shd w:val="clear" w:color="auto" w:fill="FFFFFF"/>
        <w:spacing w:before="240" w:after="240" w:line="276" w:lineRule="auto"/>
        <w:ind w:left="0" w:right="0" w:firstLine="720"/>
        <w:jc w:val="both"/>
        <w:rPr>
          <w:rFonts w:ascii="Times New Roman" w:hAnsi="Times New Roman"/>
        </w:rPr>
      </w:pPr>
      <w:r>
        <w:rPr>
          <w:rFonts w:eastAsia="Arial" w:cs="Arial"/>
          <w:sz w:val="24"/>
          <w:szCs w:val="24"/>
        </w:rPr>
        <w:t xml:space="preserve"> </w:t>
      </w:r>
      <w:r>
        <w:rPr>
          <w:sz w:val="24"/>
          <w:szCs w:val="24"/>
        </w:rPr>
        <w:t xml:space="preserve">Cabe destacar, ainda, que esta Casa de Lei deu autorização, em outubro de 2021, para que o SAAE realizasse acordo técnico com a empresa Promoval 07 </w:t>
      </w:r>
      <w:r>
        <w:rPr>
          <w:sz w:val="24"/>
          <w:szCs w:val="24"/>
        </w:rPr>
        <w:t>E</w:t>
      </w:r>
      <w:r>
        <w:rPr>
          <w:sz w:val="24"/>
          <w:szCs w:val="24"/>
        </w:rPr>
        <w:t>mpreendimentos Imobiliários SPE Ltda e Promoval SPE 10 Villa Francesa Ltda.</w:t>
      </w:r>
    </w:p>
    <w:p>
      <w:pPr>
        <w:spacing w:line="276" w:lineRule="auto"/>
        <w:ind w:left="0" w:right="0" w:firstLine="709"/>
        <w:jc w:val="both"/>
        <w:rPr>
          <w:rFonts w:ascii="Times New Roman" w:eastAsia="Arial" w:hAnsi="Times New Roman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Segundo a lei nº 6.359, seria obrigação originária dos empreendedores doarem ao Serviço Autônomo de Água e Esgoto de Mogi Mirim 600 metros de tubulação orçado</w:t>
      </w:r>
      <w:r>
        <w:rPr>
          <w:rFonts w:eastAsia="Arial" w:cs="Arial"/>
          <w:sz w:val="24"/>
          <w:szCs w:val="24"/>
        </w:rPr>
        <w:t>s</w:t>
      </w:r>
      <w:r>
        <w:rPr>
          <w:rFonts w:eastAsia="Arial" w:cs="Arial"/>
          <w:sz w:val="24"/>
          <w:szCs w:val="24"/>
        </w:rPr>
        <w:t xml:space="preserve"> em R$ 600.000,00, para execução de reforço da adutora de água tratada, que abastece a região em que se situam os empreendimentos, Villa Francesa LIS e Villa Francesa IRIS, que foi substituída pela obrigação de reformar, fornecendo mão de obra e todo o material, a CEMPI Fortunata Bertolazzo Albano, no Bairro Saúde, de acordo com projeto, memorial descritivo e planilha de custos, elaborados pela Municipalidade, orçados em R$ 533.500,84. </w:t>
      </w:r>
    </w:p>
    <w:p>
      <w:pPr>
        <w:spacing w:line="276" w:lineRule="auto"/>
        <w:ind w:left="0" w:right="0" w:firstLine="0"/>
        <w:jc w:val="both"/>
        <w:rPr>
          <w:rFonts w:ascii="Times New Roman" w:eastAsia="Arial" w:hAnsi="Times New Roman" w:cs="Arial"/>
          <w:sz w:val="24"/>
          <w:szCs w:val="24"/>
        </w:rPr>
      </w:pPr>
    </w:p>
    <w:p>
      <w:pPr>
        <w:spacing w:line="276" w:lineRule="auto"/>
        <w:ind w:left="0" w:right="0" w:firstLine="709"/>
        <w:jc w:val="both"/>
        <w:rPr>
          <w:rFonts w:ascii="Times New Roman" w:eastAsia="Arial" w:hAnsi="Times New Roman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 </w:t>
      </w:r>
      <w:r>
        <w:rPr>
          <w:rFonts w:eastAsia="Arial" w:cs="Arial"/>
          <w:sz w:val="24"/>
          <w:szCs w:val="24"/>
        </w:rPr>
        <w:t>A obrigação assumida pelo empreendedor deveria ser concluída e efetivamente entregue ao Poder Público pronta para uso, no prazo de 180 dias a contar da expedição do alvará para a execução da reforma. O valor remanescente da obrigação original do empreendedor deveria ser recolhido aos cofres do Serviço Autônomo de Água e Esgotos de Mogi Mirim em até 180 dias da promulgação desta Lei.</w:t>
      </w:r>
    </w:p>
    <w:p>
      <w:pPr>
        <w:spacing w:line="276" w:lineRule="auto"/>
        <w:ind w:left="0" w:right="0" w:firstLine="709"/>
        <w:jc w:val="both"/>
        <w:rPr>
          <w:rFonts w:ascii="Times New Roman" w:eastAsia="Arial" w:hAnsi="Times New Roman" w:cs="Arial"/>
          <w:sz w:val="24"/>
          <w:szCs w:val="24"/>
        </w:rPr>
      </w:pPr>
    </w:p>
    <w:p>
      <w:pPr>
        <w:spacing w:line="276" w:lineRule="auto"/>
        <w:ind w:left="0" w:right="0" w:firstLine="709"/>
        <w:jc w:val="both"/>
        <w:rPr>
          <w:b/>
          <w:bCs/>
        </w:rPr>
      </w:pPr>
      <w:r>
        <w:rPr>
          <w:rFonts w:eastAsia="Arial" w:cs="Arial"/>
          <w:b/>
          <w:bCs/>
          <w:sz w:val="24"/>
          <w:szCs w:val="24"/>
        </w:rPr>
        <w:t>Segundo a referida Lei, a obrigação originária dos empreendedores em implantar a Estação de Tratamento de Esgoto nos loteamentos Villa Francesa LIS e Villa Francesa IRIS foi substituída pela doação do valor de R$ 116.800,00 ao Fundo de Concessão de Esgoto do Serviço Autônomo de Água e Esgoto de Mogi Mirim.</w:t>
      </w:r>
    </w:p>
    <w:p>
      <w:pPr>
        <w:spacing w:line="276" w:lineRule="auto"/>
        <w:ind w:left="0" w:right="0" w:firstLine="709"/>
        <w:jc w:val="both"/>
        <w:rPr>
          <w:rFonts w:ascii="Times New Roman" w:eastAsia="Arial" w:hAnsi="Times New Roman" w:cs="Arial"/>
          <w:sz w:val="24"/>
          <w:szCs w:val="24"/>
        </w:rPr>
      </w:pPr>
    </w:p>
    <w:p>
      <w:pPr>
        <w:spacing w:line="276" w:lineRule="auto"/>
        <w:ind w:left="0" w:right="0" w:firstLine="709"/>
        <w:jc w:val="both"/>
        <w:rPr>
          <w:rFonts w:ascii="Times New Roman" w:eastAsia="Arial" w:hAnsi="Times New Roman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Considerando que a publicação da lei ocorreu em 09/10/2021 e que a assinatura do acordo com a alteração do escopo da reforma do CEMPI se concretizou em 13/12/2021 e que a data de início da reforma estava prevista para 17 de janeiro de 2022 com prazo de 6 meses para conclusão, dando-se o início somente após a liberação da área.</w:t>
      </w:r>
    </w:p>
    <w:p>
      <w:pPr>
        <w:spacing w:line="276" w:lineRule="auto"/>
        <w:ind w:left="0" w:right="0" w:firstLine="709"/>
        <w:jc w:val="both"/>
        <w:rPr>
          <w:rFonts w:ascii="Times New Roman" w:eastAsia="Arial" w:hAnsi="Times New Roman" w:cs="Arial"/>
          <w:sz w:val="24"/>
          <w:szCs w:val="24"/>
        </w:rPr>
      </w:pPr>
    </w:p>
    <w:p>
      <w:pPr>
        <w:spacing w:line="276" w:lineRule="auto"/>
        <w:ind w:left="0" w:right="0" w:firstLine="709"/>
        <w:jc w:val="both"/>
        <w:rPr>
          <w:rFonts w:ascii="Times New Roman" w:eastAsia="Arial" w:hAnsi="Times New Roman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Considerando a </w:t>
      </w:r>
      <w:r>
        <w:rPr>
          <w:rFonts w:eastAsia="Arial" w:cs="Arial"/>
          <w:sz w:val="24"/>
          <w:szCs w:val="24"/>
        </w:rPr>
        <w:t>l</w:t>
      </w:r>
      <w:r>
        <w:rPr>
          <w:rFonts w:eastAsia="Arial" w:cs="Arial"/>
          <w:sz w:val="24"/>
          <w:szCs w:val="24"/>
        </w:rPr>
        <w:t>ei 6.359/2021 que autorizou pelo Executivo que as requerentes firmassem acordo com o SAAE, para que o valor da diferença da tubulação no importe de R$ 66.499,16, bem como R$ 116.800,00 correspondente à execução da ETE deveria ser pag</w:t>
      </w:r>
      <w:r>
        <w:rPr>
          <w:rFonts w:eastAsia="Arial" w:cs="Arial"/>
          <w:sz w:val="24"/>
          <w:szCs w:val="24"/>
        </w:rPr>
        <w:t>o</w:t>
      </w:r>
      <w:r>
        <w:rPr>
          <w:rFonts w:eastAsia="Arial" w:cs="Arial"/>
          <w:sz w:val="24"/>
          <w:szCs w:val="24"/>
        </w:rPr>
        <w:t xml:space="preserve"> em espécie em 180 dias da promulgação da Lei </w:t>
      </w:r>
    </w:p>
    <w:p>
      <w:pPr>
        <w:spacing w:line="276" w:lineRule="auto"/>
        <w:ind w:left="0" w:right="0" w:firstLine="709"/>
        <w:jc w:val="both"/>
        <w:rPr>
          <w:rFonts w:ascii="Times New Roman" w:eastAsia="Arial" w:hAnsi="Times New Roman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 </w:t>
      </w:r>
    </w:p>
    <w:p>
      <w:pPr>
        <w:spacing w:line="276" w:lineRule="auto"/>
        <w:ind w:left="0" w:right="0" w:firstLine="709"/>
        <w:jc w:val="both"/>
        <w:rPr>
          <w:rFonts w:ascii="Times New Roman" w:eastAsia="Arial" w:hAnsi="Times New Roman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E levando-se em conta ainda que as referidas obrigações correspondem, em conjunto, aos respectivos empreendimentos imobiliários, sendo certo que o empreendimento da requerente SPE </w:t>
      </w:r>
      <w:r>
        <w:rPr>
          <w:rFonts w:eastAsia="Arial" w:cs="Arial"/>
          <w:sz w:val="24"/>
          <w:szCs w:val="24"/>
        </w:rPr>
        <w:t>0</w:t>
      </w:r>
      <w:r>
        <w:rPr>
          <w:rFonts w:eastAsia="Arial" w:cs="Arial"/>
          <w:sz w:val="24"/>
          <w:szCs w:val="24"/>
        </w:rPr>
        <w:t xml:space="preserve">7, denominado Vila Francesa Lis, está em fase final de conclusão e o empreendimento da requerente SPE 10 – Villa Francesa Iris - </w:t>
      </w:r>
      <w:r>
        <w:rPr>
          <w:rFonts w:eastAsia="Arial" w:cs="Arial"/>
          <w:sz w:val="24"/>
          <w:szCs w:val="24"/>
        </w:rPr>
        <w:t>ainda não foi iniciado.</w:t>
      </w:r>
    </w:p>
    <w:p>
      <w:pPr>
        <w:spacing w:line="276" w:lineRule="auto"/>
        <w:ind w:left="0" w:right="0" w:firstLine="709"/>
        <w:jc w:val="both"/>
        <w:rPr>
          <w:rFonts w:ascii="Times New Roman" w:eastAsia="Arial" w:hAnsi="Times New Roman" w:cs="Arial"/>
          <w:sz w:val="24"/>
          <w:szCs w:val="24"/>
        </w:rPr>
      </w:pPr>
    </w:p>
    <w:p>
      <w:pPr>
        <w:spacing w:line="276" w:lineRule="auto"/>
        <w:ind w:left="0" w:right="0" w:firstLine="709"/>
        <w:jc w:val="both"/>
        <w:rPr>
          <w:b/>
          <w:bCs/>
        </w:rPr>
      </w:pPr>
      <w:r>
        <w:rPr>
          <w:rFonts w:eastAsia="Arial" w:cs="Arial"/>
          <w:b/>
          <w:bCs/>
          <w:sz w:val="24"/>
          <w:szCs w:val="24"/>
        </w:rPr>
        <w:t>Considerando, contudo, que as requerentes estão em fase final da reforma do CEMPI Fortunata Bertolazzo Albano e</w:t>
      </w:r>
      <w:r>
        <w:rPr>
          <w:rFonts w:eastAsia="Arial" w:cs="Arial"/>
          <w:b/>
          <w:bCs/>
          <w:sz w:val="24"/>
          <w:szCs w:val="24"/>
        </w:rPr>
        <w:t xml:space="preserve"> que a Promoval apresentou </w:t>
      </w:r>
      <w:r>
        <w:rPr>
          <w:rFonts w:eastAsia="Arial" w:cs="Arial"/>
          <w:b/>
          <w:bCs/>
          <w:sz w:val="24"/>
          <w:szCs w:val="24"/>
        </w:rPr>
        <w:t xml:space="preserve">como </w:t>
      </w:r>
      <w:r>
        <w:rPr>
          <w:rFonts w:eastAsia="Arial" w:cs="Arial"/>
          <w:b/>
          <w:bCs/>
          <w:sz w:val="24"/>
          <w:szCs w:val="24"/>
        </w:rPr>
        <w:t xml:space="preserve">justificativas as chuvas ocorridas nos meses de janeiro e fevereiro de 2022, </w:t>
      </w:r>
      <w:r>
        <w:rPr>
          <w:rFonts w:eastAsia="Arial" w:cs="Arial"/>
          <w:b/>
          <w:bCs/>
          <w:sz w:val="24"/>
          <w:szCs w:val="24"/>
        </w:rPr>
        <w:t xml:space="preserve">que </w:t>
      </w:r>
      <w:r>
        <w:rPr>
          <w:rFonts w:eastAsia="Arial" w:cs="Arial"/>
          <w:b/>
          <w:bCs/>
          <w:sz w:val="24"/>
          <w:szCs w:val="24"/>
        </w:rPr>
        <w:t xml:space="preserve">acabaram por atrapalhar o andamento das duas frentes de instalação, sendo que um módulo não foi concluído e o segundo ainda não foi iniciado, </w:t>
      </w:r>
      <w:r>
        <w:rPr>
          <w:rFonts w:eastAsia="Arial" w:cs="Arial"/>
          <w:b/>
          <w:bCs/>
          <w:sz w:val="24"/>
          <w:szCs w:val="24"/>
        </w:rPr>
        <w:t>além de dificuldades no fluxo de caixa para arcar com o desembolso, em virtude da conclusão da obra da unidade escolar.</w:t>
      </w:r>
    </w:p>
    <w:p>
      <w:pPr>
        <w:spacing w:line="276" w:lineRule="auto"/>
        <w:ind w:left="0" w:right="0" w:firstLine="709"/>
        <w:jc w:val="both"/>
        <w:rPr>
          <w:rFonts w:ascii="Times New Roman" w:eastAsia="Arial" w:hAnsi="Times New Roman" w:cs="Arial"/>
          <w:sz w:val="24"/>
          <w:szCs w:val="24"/>
        </w:rPr>
      </w:pPr>
    </w:p>
    <w:p>
      <w:pPr>
        <w:spacing w:line="276" w:lineRule="auto"/>
        <w:ind w:left="0" w:right="0" w:firstLine="709"/>
        <w:jc w:val="both"/>
        <w:rPr>
          <w:rFonts w:ascii="Times New Roman" w:eastAsia="Arial" w:hAnsi="Times New Roman" w:cs="Arial"/>
          <w:b/>
          <w:bCs/>
          <w:sz w:val="24"/>
          <w:szCs w:val="24"/>
        </w:rPr>
      </w:pPr>
      <w:r>
        <w:rPr>
          <w:rFonts w:eastAsia="Arial" w:cs="Arial"/>
          <w:b/>
          <w:bCs/>
          <w:sz w:val="24"/>
          <w:szCs w:val="24"/>
        </w:rPr>
        <w:t xml:space="preserve">Tendo em vista, ainda, que a Promoval 07 Empreendimentos Imobiliários SPE Ltda e Promoval SPE 10 Villa Francesa Ltda. protocolaram junto ao SAAE pedido de prorrogação de prazo por mais 180 dias dos pagamentos acordados </w:t>
      </w:r>
      <w:r>
        <w:rPr>
          <w:rFonts w:eastAsia="Arial" w:cs="Arial"/>
          <w:b/>
          <w:bCs/>
          <w:sz w:val="24"/>
          <w:szCs w:val="24"/>
        </w:rPr>
        <w:t>no dia 01 de abril de 2022, portanto, ainda dentro do prazo previsto para as obrigações.</w:t>
      </w:r>
    </w:p>
    <w:p>
      <w:pPr>
        <w:spacing w:line="276" w:lineRule="auto"/>
        <w:ind w:left="0" w:right="0" w:firstLine="709"/>
        <w:jc w:val="both"/>
        <w:rPr>
          <w:rFonts w:ascii="Times New Roman" w:eastAsia="Arial" w:hAnsi="Times New Roman" w:cs="Arial"/>
          <w:sz w:val="24"/>
          <w:szCs w:val="24"/>
        </w:rPr>
      </w:pPr>
    </w:p>
    <w:p>
      <w:pPr>
        <w:spacing w:line="276" w:lineRule="auto"/>
        <w:ind w:left="0" w:right="0" w:firstLine="709"/>
        <w:jc w:val="both"/>
        <w:rPr>
          <w:rFonts w:ascii="Times New Roman" w:eastAsia="Arial" w:hAnsi="Times New Roman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Considerando que em reunião conjunta das Comissões </w:t>
      </w:r>
      <w:r>
        <w:rPr>
          <w:rFonts w:eastAsia="Arial" w:cs="Arial"/>
          <w:sz w:val="24"/>
          <w:szCs w:val="24"/>
        </w:rPr>
        <w:t>P</w:t>
      </w:r>
      <w:r>
        <w:rPr>
          <w:rFonts w:eastAsia="Arial" w:cs="Arial"/>
          <w:sz w:val="24"/>
          <w:szCs w:val="24"/>
        </w:rPr>
        <w:t>ermanentes da Câmara, no dia 25 de agosto de 2022, representantes do SAAE e do Poder Executivo confirmaram que possuem um bom relacionamento com a empresa, que executa outras obras na cidade, e veem  boa-fé na realização dos serviços a serem concluídos e as justificativas para o atraso são plausíveis.</w:t>
      </w:r>
    </w:p>
    <w:p>
      <w:pPr>
        <w:spacing w:line="276" w:lineRule="auto"/>
        <w:ind w:left="0" w:right="0" w:firstLine="709"/>
        <w:jc w:val="both"/>
        <w:rPr>
          <w:rFonts w:ascii="Times New Roman" w:eastAsia="Arial" w:hAnsi="Times New Roman" w:cs="Arial"/>
          <w:sz w:val="24"/>
          <w:szCs w:val="24"/>
        </w:rPr>
      </w:pPr>
    </w:p>
    <w:p>
      <w:pPr>
        <w:spacing w:line="276" w:lineRule="auto"/>
        <w:ind w:left="0" w:right="0" w:firstLine="709"/>
        <w:jc w:val="both"/>
        <w:rPr>
          <w:rFonts w:ascii="Times New Roman" w:hAnsi="Times New Roman"/>
        </w:rPr>
      </w:pPr>
      <w:r>
        <w:rPr>
          <w:rFonts w:eastAsia="Arial" w:cs="Arial"/>
          <w:sz w:val="24"/>
          <w:szCs w:val="24"/>
        </w:rPr>
        <w:t xml:space="preserve">Deste modo, </w:t>
      </w:r>
      <w:r>
        <w:rPr>
          <w:rFonts w:eastAsia="Arial" w:cs="Arial"/>
          <w:sz w:val="24"/>
          <w:szCs w:val="24"/>
        </w:rPr>
        <w:t xml:space="preserve">tendo em vista </w:t>
      </w:r>
      <w:r>
        <w:rPr>
          <w:rFonts w:eastAsia="Arial" w:cs="Arial"/>
          <w:sz w:val="24"/>
          <w:szCs w:val="24"/>
        </w:rPr>
        <w:t>a importância social que se reveste a matéria, verifica-se ser razoável atender o solicitado pela empresa Promoval e prorrogar o prazo até 31 de dezembro de 2022 para o depósito (doação) no valor de R$ 116.800,00 ao Fundo de Concessão de Esgoto e o depósito de R$ 66.499,16 aos cofres do SAAE para finalizar toda a obrigação de contrapartida.</w:t>
      </w:r>
    </w:p>
    <w:p>
      <w:pPr>
        <w:spacing w:line="276" w:lineRule="auto"/>
        <w:ind w:left="0" w:right="0" w:firstLine="709"/>
        <w:jc w:val="both"/>
        <w:rPr>
          <w:rFonts w:eastAsia="Arial" w:cs="Arial"/>
          <w:sz w:val="24"/>
          <w:szCs w:val="24"/>
        </w:rPr>
      </w:pPr>
    </w:p>
    <w:p>
      <w:pPr>
        <w:spacing w:line="276" w:lineRule="auto"/>
        <w:ind w:left="0" w:right="0" w:firstLine="709"/>
        <w:jc w:val="both"/>
        <w:rPr>
          <w:rFonts w:ascii="Times New Roman" w:hAnsi="Times New Roman"/>
        </w:rPr>
      </w:pPr>
      <w:r>
        <w:rPr>
          <w:rFonts w:eastAsia="Arial" w:cs="Arial"/>
          <w:sz w:val="24"/>
          <w:szCs w:val="24"/>
        </w:rPr>
        <w:t>Tendo em vista que não observamos irregularidades na propositura ora analisada, não se verifica óbices para continuidade da proposta apresentada pelo Executivo Municipal.</w:t>
      </w:r>
    </w:p>
    <w:p>
      <w:pPr>
        <w:spacing w:line="276" w:lineRule="auto"/>
        <w:ind w:left="0" w:right="0" w:firstLine="709"/>
        <w:jc w:val="both"/>
        <w:rPr>
          <w:rFonts w:eastAsia="Arial" w:cs="Arial"/>
          <w:b/>
          <w:sz w:val="24"/>
          <w:szCs w:val="24"/>
        </w:rPr>
      </w:pPr>
    </w:p>
    <w:p>
      <w:pPr>
        <w:spacing w:line="276" w:lineRule="auto"/>
        <w:jc w:val="both"/>
        <w:rPr>
          <w:rFonts w:ascii="Times New Roman" w:hAnsi="Times New Roman"/>
        </w:rPr>
      </w:pPr>
      <w:r>
        <w:rPr>
          <w:rFonts w:eastAsia="Arial" w:cs="Arial"/>
          <w:b/>
          <w:sz w:val="24"/>
          <w:szCs w:val="24"/>
        </w:rPr>
        <w:t>III. Substitutivos, Emendas ou subemendas ao Projeto</w:t>
      </w:r>
    </w:p>
    <w:p>
      <w:pPr>
        <w:spacing w:line="276" w:lineRule="auto"/>
        <w:jc w:val="both"/>
        <w:rPr>
          <w:rFonts w:ascii="Times New Roman" w:hAnsi="Times New Roman"/>
        </w:rPr>
      </w:pPr>
      <w:r>
        <w:rPr>
          <w:rFonts w:eastAsia="Arial" w:cs="Arial"/>
          <w:sz w:val="24"/>
          <w:szCs w:val="24"/>
        </w:rPr>
        <w:t xml:space="preserve"> </w:t>
      </w:r>
      <w:r>
        <w:rPr>
          <w:rFonts w:eastAsia="Arial" w:cs="Arial"/>
          <w:sz w:val="24"/>
          <w:szCs w:val="24"/>
        </w:rPr>
        <w:tab/>
      </w:r>
    </w:p>
    <w:p>
      <w:pPr>
        <w:spacing w:line="276" w:lineRule="auto"/>
        <w:jc w:val="both"/>
        <w:rPr>
          <w:rFonts w:ascii="Times New Roman" w:hAnsi="Times New Roman"/>
        </w:rPr>
      </w:pPr>
      <w:r>
        <w:rPr>
          <w:rFonts w:eastAsia="Arial" w:cs="Arial"/>
          <w:sz w:val="24"/>
          <w:szCs w:val="24"/>
        </w:rPr>
        <w:tab/>
        <w:t>A Relatoria não propõe qualquer alteração ao Projeto de Lei sob análise.</w:t>
      </w:r>
    </w:p>
    <w:p>
      <w:pPr>
        <w:spacing w:line="276" w:lineRule="auto"/>
        <w:jc w:val="both"/>
        <w:rPr>
          <w:rFonts w:ascii="Times New Roman" w:eastAsia="Arial" w:hAnsi="Times New Roman" w:cs="Arial"/>
          <w:sz w:val="24"/>
          <w:szCs w:val="24"/>
        </w:rPr>
      </w:pPr>
    </w:p>
    <w:p>
      <w:pPr>
        <w:spacing w:line="276" w:lineRule="auto"/>
        <w:jc w:val="both"/>
        <w:rPr>
          <w:rFonts w:ascii="Times New Roman" w:hAnsi="Times New Roman"/>
        </w:rPr>
      </w:pPr>
      <w:r>
        <w:rPr>
          <w:rFonts w:eastAsia="Arial" w:cs="Arial"/>
          <w:b/>
          <w:sz w:val="24"/>
          <w:szCs w:val="24"/>
        </w:rPr>
        <w:t>IV. Decisão da Relatora.</w:t>
      </w:r>
    </w:p>
    <w:p>
      <w:pPr>
        <w:spacing w:line="276" w:lineRule="auto"/>
        <w:jc w:val="both"/>
        <w:rPr>
          <w:rFonts w:ascii="Times New Roman" w:eastAsia="Arial" w:hAnsi="Times New Roman" w:cs="Arial"/>
          <w:b/>
          <w:sz w:val="24"/>
          <w:szCs w:val="24"/>
        </w:rPr>
      </w:pPr>
    </w:p>
    <w:p>
      <w:pPr>
        <w:spacing w:line="276" w:lineRule="auto"/>
        <w:ind w:left="0" w:right="0" w:firstLine="720"/>
        <w:jc w:val="both"/>
        <w:rPr>
          <w:rFonts w:ascii="Times New Roman" w:hAnsi="Times New Roman"/>
        </w:rPr>
      </w:pPr>
      <w:r>
        <w:rPr>
          <w:rFonts w:eastAsia="Arial" w:cs="Arial"/>
          <w:sz w:val="24"/>
          <w:szCs w:val="24"/>
        </w:rPr>
        <w:t xml:space="preserve">Portanto, diante do exposto, esta relatoria considera que a presente propositura não apresenta vícios de constitucionalidade, recebendo assim parecer </w:t>
      </w:r>
      <w:r>
        <w:rPr>
          <w:rFonts w:eastAsia="Arial" w:cs="Arial"/>
          <w:b/>
          <w:sz w:val="24"/>
          <w:szCs w:val="24"/>
        </w:rPr>
        <w:t>FAVORÁVEL.</w:t>
      </w:r>
    </w:p>
    <w:p>
      <w:pPr>
        <w:spacing w:line="276" w:lineRule="auto"/>
        <w:jc w:val="both"/>
        <w:rPr>
          <w:rFonts w:ascii="Times New Roman" w:eastAsia="Calibri" w:hAnsi="Times New Roman" w:cs="Calibri"/>
          <w:b/>
          <w:color w:val="000000"/>
          <w:sz w:val="24"/>
          <w:szCs w:val="24"/>
        </w:rPr>
      </w:pPr>
    </w:p>
    <w:p>
      <w:pPr>
        <w:spacing w:line="276" w:lineRule="auto"/>
        <w:jc w:val="both"/>
        <w:rPr>
          <w:rFonts w:ascii="Times New Roman" w:eastAsia="Calibri" w:hAnsi="Times New Roman" w:cs="Calibri"/>
          <w:b/>
          <w:sz w:val="24"/>
          <w:szCs w:val="24"/>
        </w:rPr>
      </w:pPr>
    </w:p>
    <w:p>
      <w:pPr>
        <w:spacing w:line="276" w:lineRule="auto"/>
        <w:jc w:val="both"/>
        <w:rPr>
          <w:rFonts w:ascii="Times New Roman" w:eastAsia="Calibri" w:hAnsi="Times New Roman" w:cs="Calibri"/>
          <w:b/>
          <w:sz w:val="24"/>
          <w:szCs w:val="24"/>
        </w:rPr>
      </w:pPr>
    </w:p>
    <w:p>
      <w:pPr>
        <w:spacing w:line="276" w:lineRule="auto"/>
        <w:jc w:val="both"/>
        <w:rPr>
          <w:rFonts w:ascii="Times New Roman" w:eastAsia="Calibri" w:hAnsi="Times New Roman" w:cs="Calibri"/>
          <w:b/>
          <w:sz w:val="24"/>
          <w:szCs w:val="24"/>
        </w:rPr>
      </w:pPr>
    </w:p>
    <w:p>
      <w:pPr>
        <w:spacing w:line="240" w:lineRule="auto"/>
        <w:jc w:val="both"/>
        <w:rPr>
          <w:rFonts w:ascii="Times New Roman" w:eastAsia="Calibri" w:hAnsi="Times New Roman" w:cs="Calibri"/>
          <w:b/>
          <w:sz w:val="24"/>
          <w:szCs w:val="24"/>
        </w:rPr>
      </w:pPr>
    </w:p>
    <w:p>
      <w:pPr>
        <w:spacing w:line="240" w:lineRule="auto"/>
        <w:rPr>
          <w:rFonts w:ascii="Times New Roman" w:eastAsia="Calibri" w:hAnsi="Times New Roman" w:cs="Calibri"/>
          <w:b/>
          <w:sz w:val="24"/>
          <w:szCs w:val="24"/>
        </w:rPr>
      </w:pPr>
    </w:p>
    <w:p>
      <w:pPr>
        <w:spacing w:line="240" w:lineRule="auto"/>
        <w:jc w:val="center"/>
        <w:rPr>
          <w:rFonts w:ascii="Times New Roman" w:hAnsi="Times New Roman"/>
        </w:rPr>
      </w:pPr>
      <w:r>
        <w:rPr>
          <w:rFonts w:eastAsia="Calibri" w:cs="Calibri"/>
          <w:b/>
          <w:color w:val="000000"/>
          <w:sz w:val="24"/>
          <w:szCs w:val="24"/>
        </w:rPr>
        <w:t>VEREADORA DRA. LÚCIA MARIA FERREIRA TENÓRIO</w:t>
      </w:r>
    </w:p>
    <w:p>
      <w:pPr>
        <w:spacing w:line="240" w:lineRule="auto"/>
        <w:jc w:val="center"/>
        <w:rPr>
          <w:rFonts w:ascii="Times New Roman" w:hAnsi="Times New Roman"/>
        </w:rPr>
      </w:pPr>
      <w:r>
        <w:rPr>
          <w:rFonts w:eastAsia="Calibri" w:cs="Calibri"/>
          <w:b/>
          <w:color w:val="000000"/>
          <w:sz w:val="24"/>
          <w:szCs w:val="24"/>
        </w:rPr>
        <w:t>Relatora</w:t>
      </w:r>
    </w:p>
    <w:p>
      <w:pPr>
        <w:spacing w:line="240" w:lineRule="auto"/>
        <w:jc w:val="center"/>
        <w:rPr>
          <w:rFonts w:ascii="Times New Roman" w:eastAsia="Calibri" w:hAnsi="Times New Roman" w:cs="Calibri"/>
          <w:b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ascii="Times New Roman" w:eastAsia="Calibri" w:hAnsi="Times New Roman" w:cs="Calibri"/>
          <w:b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ascii="Times New Roman" w:eastAsia="Calibri" w:hAnsi="Times New Roman" w:cs="Calibri"/>
          <w:b/>
          <w:color w:val="000000"/>
          <w:sz w:val="24"/>
          <w:szCs w:val="24"/>
        </w:rPr>
      </w:pPr>
      <w:r>
        <w:br w:type="page"/>
      </w:r>
    </w:p>
    <w:p>
      <w:pPr>
        <w:spacing w:line="240" w:lineRule="auto"/>
        <w:jc w:val="center"/>
        <w:rPr>
          <w:rFonts w:ascii="Times New Roman" w:hAnsi="Times New Roman"/>
        </w:rPr>
      </w:pPr>
    </w:p>
    <w:p>
      <w:pPr>
        <w:spacing w:before="0" w:after="0" w:line="240" w:lineRule="auto"/>
        <w:contextualSpacing/>
        <w:jc w:val="both"/>
        <w:rPr>
          <w:rFonts w:ascii="Times New Roman" w:hAnsi="Times New Roman"/>
        </w:rPr>
      </w:pPr>
      <w:r>
        <w:rPr>
          <w:rFonts w:eastAsia="Calibri" w:cs="Calibri"/>
          <w:b/>
          <w:sz w:val="24"/>
          <w:szCs w:val="24"/>
        </w:rPr>
        <w:t>PARECER CONJUNTO DAS COMISSÕES PERMANENTES DE JUSTIÇA E REDAÇÃO E DE FINANÇAS E ORÇAMENTO</w:t>
      </w:r>
    </w:p>
    <w:p>
      <w:pPr>
        <w:spacing w:before="0" w:after="0" w:line="240" w:lineRule="auto"/>
        <w:contextualSpacing/>
        <w:rPr>
          <w:rFonts w:ascii="Times New Roman" w:eastAsia="Calibri" w:hAnsi="Times New Roman" w:cs="Calibri"/>
          <w:sz w:val="24"/>
          <w:szCs w:val="24"/>
        </w:rPr>
      </w:pPr>
    </w:p>
    <w:p>
      <w:pPr>
        <w:spacing w:before="0" w:after="0" w:line="240" w:lineRule="auto"/>
        <w:ind w:left="0" w:right="0" w:firstLine="720"/>
        <w:contextualSpacing/>
        <w:jc w:val="both"/>
        <w:rPr>
          <w:rFonts w:ascii="Times New Roman" w:eastAsia="Calibri" w:hAnsi="Times New Roman" w:cs="Calibri"/>
        </w:rPr>
      </w:pPr>
    </w:p>
    <w:p>
      <w:pPr>
        <w:spacing w:before="0" w:after="0" w:line="240" w:lineRule="auto"/>
        <w:ind w:left="0" w:right="0" w:firstLine="720"/>
        <w:contextualSpacing/>
        <w:jc w:val="both"/>
        <w:rPr>
          <w:rFonts w:ascii="Times New Roman" w:hAnsi="Times New Roman"/>
        </w:rPr>
      </w:pPr>
      <w:r>
        <w:rPr>
          <w:rFonts w:eastAsia="Calibri" w:cs="Calibri"/>
          <w:sz w:val="24"/>
          <w:szCs w:val="24"/>
        </w:rPr>
        <w:t xml:space="preserve">Seguindo o Voto exarado pela Relatora e conforme determinam os artigos 35 e 37, combinados com artigo 45 da Resolução n°  276 de 09 de novembro de 2010 a Comissão </w:t>
      </w:r>
      <w:r>
        <w:rPr>
          <w:rFonts w:eastAsia="Calibri" w:cs="Calibri"/>
          <w:sz w:val="24"/>
          <w:szCs w:val="24"/>
        </w:rPr>
        <w:t xml:space="preserve">Permanente </w:t>
      </w:r>
      <w:r>
        <w:rPr>
          <w:rFonts w:eastAsia="Calibri" w:cs="Calibri"/>
          <w:sz w:val="24"/>
          <w:szCs w:val="24"/>
        </w:rPr>
        <w:t xml:space="preserve">de Justiça e Redação conjuntamente com a Comissão Permanente de Finanças e Orçamento, formalizam o presente </w:t>
      </w:r>
      <w:r>
        <w:rPr>
          <w:rFonts w:eastAsia="Calibri" w:cs="Calibri"/>
          <w:b/>
          <w:sz w:val="24"/>
          <w:szCs w:val="24"/>
        </w:rPr>
        <w:t>PARECER FAVORÁVEL</w:t>
      </w:r>
      <w:r>
        <w:rPr>
          <w:rFonts w:eastAsia="Calibri" w:cs="Calibri"/>
          <w:sz w:val="24"/>
          <w:szCs w:val="24"/>
        </w:rPr>
        <w:t>.</w:t>
      </w:r>
    </w:p>
    <w:p>
      <w:pPr>
        <w:spacing w:before="0" w:after="0" w:line="240" w:lineRule="auto"/>
        <w:contextualSpacing/>
        <w:jc w:val="both"/>
        <w:rPr>
          <w:rFonts w:ascii="Times New Roman" w:eastAsia="Arial" w:hAnsi="Times New Roman" w:cs="Arial"/>
          <w:sz w:val="24"/>
          <w:szCs w:val="24"/>
        </w:rPr>
      </w:pPr>
    </w:p>
    <w:p>
      <w:pPr>
        <w:spacing w:before="0" w:after="0" w:line="240" w:lineRule="auto"/>
        <w:contextualSpacing/>
        <w:jc w:val="center"/>
        <w:rPr>
          <w:rFonts w:ascii="Times New Roman" w:eastAsia="Arial" w:hAnsi="Times New Roman" w:cs="Arial"/>
          <w:sz w:val="24"/>
          <w:szCs w:val="24"/>
          <w:shd w:val="clear" w:color="auto" w:fill="FFFFFF"/>
        </w:rPr>
      </w:pPr>
    </w:p>
    <w:p>
      <w:pPr>
        <w:spacing w:before="0"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eastAsia="Arial" w:cs="Arial"/>
          <w:color w:val="000000"/>
          <w:sz w:val="24"/>
          <w:szCs w:val="24"/>
          <w:shd w:val="clear" w:color="auto" w:fill="FFFFFF"/>
        </w:rPr>
        <w:t xml:space="preserve">Sala das Comissões, em </w:t>
      </w:r>
      <w:r>
        <w:rPr>
          <w:rFonts w:eastAsia="Arial" w:cs="Arial"/>
          <w:color w:val="000000"/>
          <w:sz w:val="24"/>
          <w:szCs w:val="24"/>
          <w:shd w:val="clear" w:color="auto" w:fill="FFFFFF"/>
        </w:rPr>
        <w:t>31</w:t>
      </w:r>
      <w:r>
        <w:rPr>
          <w:rFonts w:eastAsia="Arial" w:cs="Arial"/>
          <w:color w:val="000000"/>
          <w:sz w:val="24"/>
          <w:szCs w:val="24"/>
          <w:shd w:val="clear" w:color="auto" w:fill="FFFFFF"/>
        </w:rPr>
        <w:t xml:space="preserve"> de agosto</w:t>
      </w:r>
      <w:r>
        <w:rPr>
          <w:rFonts w:eastAsia="Arial" w:cs="Arial"/>
          <w:sz w:val="24"/>
          <w:szCs w:val="24"/>
          <w:shd w:val="clear" w:color="auto" w:fill="FFFFFF"/>
        </w:rPr>
        <w:t xml:space="preserve"> </w:t>
      </w:r>
      <w:r>
        <w:rPr>
          <w:rFonts w:eastAsia="Arial" w:cs="Arial"/>
          <w:color w:val="000000"/>
          <w:sz w:val="24"/>
          <w:szCs w:val="24"/>
          <w:shd w:val="clear" w:color="auto" w:fill="FFFFFF"/>
        </w:rPr>
        <w:t>de 2022</w:t>
      </w:r>
    </w:p>
    <w:p>
      <w:pPr>
        <w:spacing w:before="0" w:after="0" w:line="240" w:lineRule="auto"/>
        <w:contextualSpacing/>
        <w:rPr>
          <w:rFonts w:ascii="Times New Roman" w:eastAsia="Calibri" w:hAnsi="Times New Roman" w:cs="Calibri"/>
          <w:b/>
          <w:sz w:val="24"/>
          <w:szCs w:val="24"/>
        </w:rPr>
      </w:pPr>
    </w:p>
    <w:p>
      <w:pPr>
        <w:spacing w:before="0" w:after="0" w:line="240" w:lineRule="auto"/>
        <w:contextualSpacing/>
        <w:jc w:val="center"/>
        <w:rPr>
          <w:rFonts w:ascii="Times New Roman" w:hAnsi="Times New Roman"/>
        </w:rPr>
      </w:pPr>
    </w:p>
    <w:p>
      <w:pPr>
        <w:spacing w:before="0" w:after="0" w:line="240" w:lineRule="auto"/>
        <w:contextualSpacing/>
        <w:jc w:val="center"/>
        <w:rPr>
          <w:rFonts w:ascii="Times New Roman" w:hAnsi="Times New Roman"/>
        </w:rPr>
      </w:pPr>
    </w:p>
    <w:p>
      <w:pPr>
        <w:spacing w:before="0"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eastAsia="Calibri" w:cs="Calibri"/>
          <w:b/>
          <w:sz w:val="24"/>
          <w:szCs w:val="24"/>
          <w:u w:val="single"/>
          <w:shd w:val="clear" w:color="auto" w:fill="FFFFFF"/>
        </w:rPr>
        <w:t>COMISSÃO DE JUSTIÇA E REDAÇÃO</w:t>
      </w:r>
    </w:p>
    <w:p>
      <w:pPr>
        <w:spacing w:before="0" w:after="0" w:line="240" w:lineRule="auto"/>
        <w:contextualSpacing/>
        <w:rPr>
          <w:rFonts w:ascii="Times New Roman" w:hAnsi="Times New Roman"/>
        </w:rPr>
      </w:pPr>
      <w:r>
        <w:rPr>
          <w:rFonts w:eastAsia="Calibri" w:cs="Calibri"/>
          <w:sz w:val="24"/>
          <w:szCs w:val="24"/>
        </w:rPr>
        <w:br/>
      </w:r>
    </w:p>
    <w:p>
      <w:pPr>
        <w:spacing w:before="0" w:after="0" w:line="240" w:lineRule="auto"/>
        <w:contextualSpacing/>
        <w:jc w:val="center"/>
        <w:rPr>
          <w:rFonts w:ascii="Times New Roman" w:eastAsia="Calibri" w:hAnsi="Times New Roman" w:cs="Calibri"/>
          <w:b/>
          <w:sz w:val="24"/>
          <w:szCs w:val="24"/>
        </w:rPr>
      </w:pPr>
    </w:p>
    <w:p>
      <w:pPr>
        <w:spacing w:before="0" w:after="0" w:line="240" w:lineRule="auto"/>
        <w:contextualSpacing/>
        <w:jc w:val="center"/>
        <w:rPr>
          <w:rFonts w:ascii="Times New Roman" w:eastAsia="Calibri" w:hAnsi="Times New Roman" w:cs="Calibri"/>
          <w:b/>
          <w:sz w:val="24"/>
          <w:szCs w:val="24"/>
        </w:rPr>
      </w:pPr>
    </w:p>
    <w:p>
      <w:pPr>
        <w:spacing w:before="0" w:after="0" w:line="240" w:lineRule="auto"/>
        <w:contextualSpacing/>
        <w:rPr>
          <w:rFonts w:ascii="Times New Roman" w:eastAsia="Calibri" w:hAnsi="Times New Roman" w:cs="Calibri"/>
          <w:b/>
          <w:sz w:val="24"/>
          <w:szCs w:val="24"/>
        </w:rPr>
      </w:pPr>
    </w:p>
    <w:p>
      <w:pPr>
        <w:spacing w:before="0"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eastAsia="Calibri" w:cs="Calibri"/>
          <w:b/>
          <w:sz w:val="24"/>
          <w:szCs w:val="24"/>
          <w:shd w:val="clear" w:color="auto" w:fill="FFFFFF"/>
        </w:rPr>
        <w:t>VEREADOR JOÃO VICTOR GASPARINI</w:t>
      </w:r>
    </w:p>
    <w:p>
      <w:pPr>
        <w:spacing w:before="0"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eastAsia="Calibri" w:cs="Calibri"/>
          <w:sz w:val="24"/>
          <w:szCs w:val="24"/>
          <w:shd w:val="clear" w:color="auto" w:fill="FFFFFF"/>
        </w:rPr>
        <w:t xml:space="preserve">Presidente </w:t>
      </w:r>
    </w:p>
    <w:p>
      <w:pPr>
        <w:spacing w:before="0" w:after="0" w:line="240" w:lineRule="auto"/>
        <w:contextualSpacing/>
        <w:jc w:val="center"/>
        <w:rPr>
          <w:rFonts w:ascii="Times New Roman" w:eastAsia="Calibri" w:hAnsi="Times New Roman" w:cs="Calibri"/>
          <w:sz w:val="24"/>
          <w:szCs w:val="24"/>
        </w:rPr>
      </w:pPr>
    </w:p>
    <w:p>
      <w:pPr>
        <w:spacing w:before="0" w:after="0" w:line="240" w:lineRule="auto"/>
        <w:contextualSpacing/>
        <w:jc w:val="center"/>
        <w:rPr>
          <w:rFonts w:ascii="Times New Roman" w:eastAsia="Calibri" w:hAnsi="Times New Roman" w:cs="Calibri"/>
          <w:sz w:val="24"/>
          <w:szCs w:val="24"/>
        </w:rPr>
      </w:pPr>
    </w:p>
    <w:p>
      <w:pPr>
        <w:spacing w:before="0" w:after="0" w:line="240" w:lineRule="auto"/>
        <w:contextualSpacing/>
        <w:rPr>
          <w:rFonts w:ascii="Times New Roman" w:eastAsia="Calibri" w:hAnsi="Times New Roman" w:cs="Calibri"/>
          <w:sz w:val="24"/>
          <w:szCs w:val="24"/>
        </w:rPr>
      </w:pPr>
    </w:p>
    <w:p>
      <w:pPr>
        <w:spacing w:before="0" w:after="0" w:line="240" w:lineRule="auto"/>
        <w:contextualSpacing/>
        <w:rPr>
          <w:rFonts w:ascii="Times New Roman" w:eastAsia="Calibri" w:hAnsi="Times New Roman" w:cs="Calibri"/>
          <w:sz w:val="24"/>
          <w:szCs w:val="24"/>
        </w:rPr>
      </w:pPr>
    </w:p>
    <w:p>
      <w:pPr>
        <w:spacing w:before="0"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eastAsia="Calibri" w:cs="Calibri"/>
          <w:b/>
          <w:sz w:val="24"/>
          <w:szCs w:val="24"/>
          <w:shd w:val="clear" w:color="auto" w:fill="FFFFFF"/>
        </w:rPr>
        <w:t>VEREADORA MARA CRISTINA CHOQUETTA</w:t>
      </w:r>
    </w:p>
    <w:p>
      <w:pPr>
        <w:spacing w:before="0"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eastAsia="Calibri" w:cs="Calibri"/>
          <w:sz w:val="24"/>
          <w:szCs w:val="24"/>
          <w:shd w:val="clear" w:color="auto" w:fill="FFFFFF"/>
        </w:rPr>
        <w:t>Vice-presidente / Relatora</w:t>
      </w:r>
    </w:p>
    <w:p>
      <w:pPr>
        <w:spacing w:before="0" w:after="0" w:line="240" w:lineRule="auto"/>
        <w:contextualSpacing/>
        <w:rPr>
          <w:rFonts w:ascii="Times New Roman" w:eastAsia="Calibri" w:hAnsi="Times New Roman" w:cs="Calibri"/>
          <w:sz w:val="24"/>
          <w:szCs w:val="24"/>
        </w:rPr>
      </w:pPr>
    </w:p>
    <w:p>
      <w:pPr>
        <w:spacing w:before="0" w:after="0" w:line="240" w:lineRule="auto"/>
        <w:contextualSpacing/>
        <w:rPr>
          <w:rFonts w:ascii="Times New Roman" w:hAnsi="Times New Roman"/>
        </w:rPr>
      </w:pPr>
      <w:r>
        <w:rPr>
          <w:rFonts w:eastAsia="Calibri" w:cs="Calibri"/>
          <w:sz w:val="24"/>
          <w:szCs w:val="24"/>
        </w:rPr>
        <w:br/>
      </w:r>
    </w:p>
    <w:p>
      <w:pPr>
        <w:spacing w:before="0" w:after="0" w:line="240" w:lineRule="auto"/>
        <w:contextualSpacing/>
        <w:rPr>
          <w:rFonts w:ascii="Times New Roman" w:hAnsi="Times New Roman"/>
        </w:rPr>
      </w:pPr>
    </w:p>
    <w:p>
      <w:pPr>
        <w:spacing w:before="0" w:after="0" w:line="240" w:lineRule="auto"/>
        <w:contextualSpacing/>
        <w:rPr>
          <w:rFonts w:ascii="Times New Roman" w:eastAsia="Calibri" w:hAnsi="Times New Roman" w:cs="Calibri"/>
          <w:sz w:val="24"/>
          <w:szCs w:val="24"/>
        </w:rPr>
      </w:pPr>
    </w:p>
    <w:p>
      <w:pPr>
        <w:spacing w:before="0"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eastAsia="Calibri" w:cs="Calibri"/>
          <w:b/>
          <w:sz w:val="24"/>
          <w:szCs w:val="24"/>
          <w:shd w:val="clear" w:color="auto" w:fill="FFFFFF"/>
        </w:rPr>
        <w:t>VEREADORA DRA. LÚCIA MARIA FERREIRA TENÓRIO</w:t>
      </w:r>
    </w:p>
    <w:p>
      <w:pPr>
        <w:spacing w:before="0"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eastAsia="Calibri" w:cs="Calibri"/>
          <w:sz w:val="24"/>
          <w:szCs w:val="24"/>
          <w:shd w:val="clear" w:color="auto" w:fill="FFFFFF"/>
        </w:rPr>
        <w:t>Membro </w:t>
      </w:r>
    </w:p>
    <w:p>
      <w:pPr>
        <w:spacing w:before="0" w:after="0" w:line="240" w:lineRule="auto"/>
        <w:contextualSpacing/>
        <w:jc w:val="center"/>
        <w:rPr>
          <w:rFonts w:ascii="Times New Roman" w:eastAsia="Calibri" w:hAnsi="Times New Roman" w:cs="Calibri"/>
          <w:b/>
          <w:sz w:val="24"/>
          <w:szCs w:val="24"/>
          <w:u w:val="single"/>
          <w:shd w:val="clear" w:color="auto" w:fill="FFFFFF"/>
        </w:rPr>
      </w:pPr>
    </w:p>
    <w:p>
      <w:pPr>
        <w:spacing w:before="0" w:after="0" w:line="240" w:lineRule="auto"/>
        <w:contextualSpacing/>
        <w:jc w:val="center"/>
        <w:rPr>
          <w:rFonts w:ascii="Times New Roman" w:eastAsia="Calibri" w:hAnsi="Times New Roman" w:cs="Calibri"/>
          <w:b/>
          <w:sz w:val="24"/>
          <w:szCs w:val="24"/>
          <w:u w:val="single"/>
          <w:shd w:val="clear" w:color="auto" w:fill="FFFFFF"/>
        </w:rPr>
      </w:pPr>
    </w:p>
    <w:p>
      <w:pPr>
        <w:spacing w:before="0" w:after="0" w:line="240" w:lineRule="auto"/>
        <w:contextualSpacing/>
        <w:jc w:val="center"/>
        <w:rPr>
          <w:rFonts w:ascii="Times New Roman" w:eastAsia="Calibri" w:hAnsi="Times New Roman" w:cs="Calibri"/>
          <w:sz w:val="24"/>
          <w:szCs w:val="24"/>
        </w:rPr>
      </w:pPr>
    </w:p>
    <w:p>
      <w:pPr>
        <w:spacing w:before="0" w:after="0" w:line="240" w:lineRule="auto"/>
        <w:contextualSpacing/>
        <w:jc w:val="center"/>
        <w:rPr>
          <w:rFonts w:ascii="Times New Roman" w:hAnsi="Times New Roman"/>
          <w:b/>
          <w:bCs/>
          <w:u w:val="single"/>
        </w:rPr>
      </w:pPr>
    </w:p>
    <w:p>
      <w:pPr>
        <w:spacing w:before="0" w:after="0" w:line="240" w:lineRule="auto"/>
        <w:contextualSpacing/>
        <w:jc w:val="center"/>
        <w:rPr>
          <w:rFonts w:ascii="Times New Roman" w:hAnsi="Times New Roman"/>
          <w:b/>
          <w:bCs/>
          <w:u w:val="single"/>
        </w:rPr>
      </w:pPr>
    </w:p>
    <w:p>
      <w:pPr>
        <w:spacing w:before="0" w:after="0" w:line="240" w:lineRule="auto"/>
        <w:contextualSpacing/>
        <w:jc w:val="center"/>
        <w:rPr>
          <w:rFonts w:ascii="Times New Roman" w:hAnsi="Times New Roman"/>
          <w:b/>
          <w:bCs/>
          <w:u w:val="single"/>
        </w:rPr>
      </w:pPr>
    </w:p>
    <w:p>
      <w:pPr>
        <w:spacing w:before="0" w:after="0" w:line="240" w:lineRule="auto"/>
        <w:contextualSpacing/>
        <w:jc w:val="center"/>
        <w:rPr>
          <w:rFonts w:ascii="Times New Roman" w:hAnsi="Times New Roman"/>
          <w:b/>
          <w:bCs/>
          <w:u w:val="single"/>
        </w:rPr>
      </w:pPr>
    </w:p>
    <w:p>
      <w:pPr>
        <w:spacing w:before="0" w:after="0" w:line="240" w:lineRule="auto"/>
        <w:contextualSpacing/>
        <w:jc w:val="center"/>
        <w:rPr>
          <w:rFonts w:ascii="Times New Roman" w:hAnsi="Times New Roman"/>
          <w:b/>
          <w:bCs/>
          <w:u w:val="single"/>
        </w:rPr>
      </w:pPr>
    </w:p>
    <w:p>
      <w:pPr>
        <w:spacing w:before="0" w:after="0" w:line="240" w:lineRule="auto"/>
        <w:contextualSpacing/>
        <w:jc w:val="center"/>
        <w:rPr>
          <w:rFonts w:ascii="Times New Roman" w:hAnsi="Times New Roman"/>
          <w:b/>
          <w:bCs/>
          <w:u w:val="single"/>
        </w:rPr>
      </w:pPr>
    </w:p>
    <w:p>
      <w:pPr>
        <w:spacing w:before="0" w:after="0" w:line="240" w:lineRule="auto"/>
        <w:contextualSpacing/>
        <w:jc w:val="center"/>
        <w:rPr>
          <w:rFonts w:ascii="Times New Roman" w:hAnsi="Times New Roman"/>
          <w:b/>
          <w:bCs/>
          <w:u w:val="single"/>
        </w:rPr>
      </w:pPr>
    </w:p>
    <w:p>
      <w:pPr>
        <w:spacing w:before="0" w:after="0" w:line="240" w:lineRule="auto"/>
        <w:contextualSpacing/>
        <w:jc w:val="center"/>
        <w:rPr>
          <w:rFonts w:ascii="Times New Roman" w:hAnsi="Times New Roman"/>
          <w:b/>
          <w:bCs/>
          <w:u w:val="single"/>
        </w:rPr>
      </w:pPr>
    </w:p>
    <w:p>
      <w:pPr>
        <w:spacing w:before="0" w:after="0" w:line="240" w:lineRule="auto"/>
        <w:contextualSpacing/>
        <w:jc w:val="center"/>
        <w:rPr>
          <w:rFonts w:ascii="Times New Roman" w:hAnsi="Times New Roman"/>
          <w:b/>
          <w:bCs/>
          <w:u w:val="single"/>
        </w:rPr>
      </w:pPr>
    </w:p>
    <w:p>
      <w:pPr>
        <w:tabs>
          <w:tab w:val="clear" w:pos="720"/>
          <w:tab w:val="center" w:pos="4419"/>
          <w:tab w:val="right" w:pos="7513"/>
          <w:tab w:val="right" w:pos="8838"/>
        </w:tabs>
        <w:spacing w:before="0" w:after="0" w:line="240" w:lineRule="auto"/>
        <w:contextualSpacing/>
        <w:jc w:val="center"/>
        <w:rPr>
          <w:rFonts w:ascii="Times New Roman" w:hAnsi="Times New Roman"/>
          <w:b w:val="0"/>
          <w:bCs w:val="0"/>
          <w:i/>
          <w:iCs/>
          <w:u w:val="single"/>
        </w:rPr>
      </w:pPr>
      <w:r>
        <w:rPr>
          <w:rFonts w:ascii="Arial" w:eastAsia="Arial" w:hAnsi="Arial" w:cs="Arial"/>
          <w:b w:val="0"/>
          <w:bCs w:val="0"/>
          <w:i/>
          <w:iCs/>
          <w:color w:val="000000"/>
          <w:sz w:val="24"/>
          <w:szCs w:val="24"/>
          <w:u w:val="single"/>
        </w:rPr>
        <w:t>Continuação do Parecer ao Projeto de Lei  nº 120 de 2022</w:t>
      </w:r>
    </w:p>
    <w:p>
      <w:pPr>
        <w:spacing w:before="0" w:after="0" w:line="240" w:lineRule="auto"/>
        <w:contextualSpacing/>
        <w:jc w:val="center"/>
        <w:rPr>
          <w:rFonts w:ascii="Times New Roman" w:hAnsi="Times New Roman"/>
          <w:b/>
          <w:bCs/>
          <w:u w:val="single"/>
        </w:rPr>
      </w:pPr>
    </w:p>
    <w:p>
      <w:pPr>
        <w:spacing w:before="0" w:after="0" w:line="240" w:lineRule="auto"/>
        <w:contextualSpacing/>
        <w:jc w:val="center"/>
        <w:rPr>
          <w:rFonts w:ascii="Times New Roman" w:hAnsi="Times New Roman"/>
          <w:b/>
          <w:bCs/>
          <w:u w:val="single"/>
        </w:rPr>
      </w:pPr>
    </w:p>
    <w:p>
      <w:pPr>
        <w:spacing w:before="0" w:after="0" w:line="240" w:lineRule="auto"/>
        <w:contextualSpacing/>
        <w:jc w:val="center"/>
        <w:rPr>
          <w:rFonts w:ascii="Times New Roman" w:hAnsi="Times New Roman"/>
          <w:b/>
          <w:bCs/>
          <w:u w:val="single"/>
        </w:rPr>
      </w:pPr>
    </w:p>
    <w:p>
      <w:pPr>
        <w:spacing w:before="0" w:after="0" w:line="240" w:lineRule="auto"/>
        <w:contextualSpacing/>
        <w:jc w:val="center"/>
        <w:rPr>
          <w:rFonts w:ascii="Times New Roman" w:eastAsia="Calibri" w:hAnsi="Times New Roman" w:cs="Calibri"/>
          <w:sz w:val="24"/>
          <w:szCs w:val="24"/>
        </w:rPr>
      </w:pPr>
    </w:p>
    <w:p>
      <w:pPr>
        <w:spacing w:before="0"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eastAsia="Calibri" w:cs="Calibri"/>
          <w:b/>
          <w:bCs/>
          <w:sz w:val="24"/>
          <w:szCs w:val="24"/>
          <w:u w:val="single"/>
        </w:rPr>
        <w:t xml:space="preserve"> </w:t>
      </w:r>
      <w:r>
        <w:rPr>
          <w:rFonts w:eastAsia="Calibri" w:cs="Calibri"/>
          <w:b/>
          <w:bCs/>
          <w:sz w:val="24"/>
          <w:szCs w:val="24"/>
          <w:u w:val="single"/>
        </w:rPr>
        <w:t xml:space="preserve">COMISSÃO DE FINANÇAS E ORÇAMENTO </w:t>
      </w:r>
    </w:p>
    <w:p>
      <w:pPr>
        <w:spacing w:before="0" w:after="0" w:line="240" w:lineRule="auto"/>
        <w:contextualSpacing/>
        <w:jc w:val="center"/>
        <w:rPr>
          <w:rFonts w:ascii="Times New Roman" w:hAnsi="Times New Roman"/>
          <w:b/>
          <w:bCs/>
          <w:u w:val="single"/>
        </w:rPr>
      </w:pPr>
    </w:p>
    <w:p>
      <w:pPr>
        <w:spacing w:before="0" w:after="0" w:line="240" w:lineRule="auto"/>
        <w:contextualSpacing/>
        <w:jc w:val="center"/>
        <w:rPr>
          <w:rFonts w:ascii="Times New Roman" w:eastAsia="Calibri" w:hAnsi="Times New Roman" w:cs="Calibri"/>
          <w:sz w:val="24"/>
          <w:szCs w:val="24"/>
        </w:rPr>
      </w:pPr>
    </w:p>
    <w:p>
      <w:pPr>
        <w:spacing w:before="0" w:after="0" w:line="240" w:lineRule="auto"/>
        <w:contextualSpacing/>
        <w:jc w:val="center"/>
        <w:rPr>
          <w:rFonts w:ascii="Times New Roman" w:eastAsia="Calibri" w:hAnsi="Times New Roman" w:cs="Calibri"/>
          <w:sz w:val="24"/>
          <w:szCs w:val="24"/>
        </w:rPr>
      </w:pPr>
    </w:p>
    <w:p>
      <w:pPr>
        <w:spacing w:before="0" w:after="0" w:line="240" w:lineRule="auto"/>
        <w:contextualSpacing/>
        <w:jc w:val="center"/>
        <w:rPr>
          <w:rFonts w:ascii="Times New Roman" w:eastAsia="Calibri" w:hAnsi="Times New Roman" w:cs="Calibri"/>
          <w:sz w:val="24"/>
          <w:szCs w:val="24"/>
        </w:rPr>
      </w:pPr>
    </w:p>
    <w:p>
      <w:pPr>
        <w:spacing w:before="0" w:after="0" w:line="240" w:lineRule="auto"/>
        <w:contextualSpacing/>
        <w:jc w:val="center"/>
        <w:rPr>
          <w:rFonts w:ascii="Times New Roman" w:hAnsi="Times New Roman"/>
          <w:b/>
          <w:bCs/>
        </w:rPr>
      </w:pPr>
    </w:p>
    <w:p>
      <w:pPr>
        <w:spacing w:before="0" w:after="0" w:line="240" w:lineRule="auto"/>
        <w:contextualSpacing/>
        <w:jc w:val="center"/>
        <w:rPr>
          <w:rFonts w:ascii="Times New Roman" w:hAnsi="Times New Roman"/>
          <w:b/>
          <w:bCs/>
        </w:rPr>
      </w:pPr>
    </w:p>
    <w:p>
      <w:pPr>
        <w:spacing w:before="0"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eastAsia="Calibri" w:cs="Calibri"/>
          <w:b/>
          <w:bCs/>
          <w:sz w:val="24"/>
          <w:szCs w:val="24"/>
        </w:rPr>
        <w:t>VEREADOR MARCOS PAULO CEGATTI</w:t>
      </w:r>
    </w:p>
    <w:p>
      <w:pPr>
        <w:spacing w:before="0"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eastAsia="Calibri" w:cs="Calibri"/>
          <w:sz w:val="24"/>
          <w:szCs w:val="24"/>
        </w:rPr>
        <w:t>Presidente</w:t>
      </w:r>
    </w:p>
    <w:p>
      <w:pPr>
        <w:spacing w:before="0" w:after="0" w:line="240" w:lineRule="auto"/>
        <w:contextualSpacing/>
        <w:jc w:val="center"/>
        <w:rPr>
          <w:rFonts w:ascii="Times New Roman" w:eastAsia="Calibri" w:hAnsi="Times New Roman" w:cs="Calibri"/>
          <w:sz w:val="24"/>
          <w:szCs w:val="24"/>
        </w:rPr>
      </w:pPr>
    </w:p>
    <w:p>
      <w:pPr>
        <w:spacing w:before="0" w:after="0" w:line="240" w:lineRule="auto"/>
        <w:contextualSpacing/>
        <w:jc w:val="center"/>
        <w:rPr>
          <w:rFonts w:ascii="Times New Roman" w:eastAsia="Calibri" w:hAnsi="Times New Roman" w:cs="Calibri"/>
          <w:sz w:val="24"/>
          <w:szCs w:val="24"/>
        </w:rPr>
      </w:pPr>
    </w:p>
    <w:p>
      <w:pPr>
        <w:spacing w:before="0" w:after="0" w:line="240" w:lineRule="auto"/>
        <w:contextualSpacing/>
        <w:jc w:val="center"/>
        <w:rPr>
          <w:rFonts w:ascii="Times New Roman" w:eastAsia="Calibri" w:hAnsi="Times New Roman" w:cs="Calibri"/>
          <w:sz w:val="24"/>
          <w:szCs w:val="24"/>
        </w:rPr>
      </w:pPr>
    </w:p>
    <w:p>
      <w:pPr>
        <w:spacing w:before="0" w:after="0" w:line="240" w:lineRule="auto"/>
        <w:contextualSpacing/>
        <w:jc w:val="center"/>
        <w:rPr>
          <w:rFonts w:ascii="Times New Roman" w:eastAsia="Calibri" w:hAnsi="Times New Roman" w:cs="Calibri"/>
          <w:sz w:val="24"/>
          <w:szCs w:val="24"/>
        </w:rPr>
      </w:pPr>
    </w:p>
    <w:p>
      <w:pPr>
        <w:spacing w:before="0" w:after="0" w:line="240" w:lineRule="auto"/>
        <w:contextualSpacing/>
        <w:jc w:val="center"/>
        <w:rPr>
          <w:rFonts w:ascii="Times New Roman" w:eastAsia="Calibri" w:hAnsi="Times New Roman" w:cs="Calibri"/>
          <w:sz w:val="24"/>
          <w:szCs w:val="24"/>
        </w:rPr>
      </w:pPr>
    </w:p>
    <w:p>
      <w:pPr>
        <w:spacing w:before="0" w:after="0" w:line="240" w:lineRule="auto"/>
        <w:contextualSpacing/>
        <w:jc w:val="center"/>
        <w:rPr>
          <w:rFonts w:ascii="Times New Roman" w:eastAsia="Calibri" w:hAnsi="Times New Roman" w:cs="Calibri"/>
          <w:sz w:val="24"/>
          <w:szCs w:val="24"/>
        </w:rPr>
      </w:pPr>
    </w:p>
    <w:p>
      <w:pPr>
        <w:spacing w:before="0"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eastAsia="Calibri" w:cs="Calibri"/>
          <w:b/>
          <w:bCs/>
          <w:sz w:val="24"/>
          <w:szCs w:val="24"/>
        </w:rPr>
        <w:t>VEREADOR ALEXANDRE CINTRA</w:t>
      </w:r>
    </w:p>
    <w:p>
      <w:pPr>
        <w:spacing w:before="0"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eastAsia="Calibri" w:cs="Calibri"/>
          <w:sz w:val="24"/>
          <w:szCs w:val="24"/>
        </w:rPr>
        <w:t>Vice-presidente</w:t>
      </w:r>
    </w:p>
    <w:p>
      <w:pPr>
        <w:spacing w:before="0" w:after="0" w:line="240" w:lineRule="auto"/>
        <w:contextualSpacing/>
        <w:jc w:val="center"/>
        <w:rPr>
          <w:rFonts w:ascii="Times New Roman" w:eastAsia="Calibri" w:hAnsi="Times New Roman" w:cs="Calibri"/>
          <w:sz w:val="24"/>
          <w:szCs w:val="24"/>
        </w:rPr>
      </w:pPr>
    </w:p>
    <w:p>
      <w:pPr>
        <w:spacing w:before="0" w:after="0" w:line="240" w:lineRule="auto"/>
        <w:contextualSpacing/>
        <w:jc w:val="center"/>
        <w:rPr>
          <w:rFonts w:ascii="Times New Roman" w:eastAsia="Calibri" w:hAnsi="Times New Roman" w:cs="Calibri"/>
          <w:sz w:val="24"/>
          <w:szCs w:val="24"/>
        </w:rPr>
      </w:pPr>
    </w:p>
    <w:p>
      <w:pPr>
        <w:spacing w:before="0" w:after="0" w:line="240" w:lineRule="auto"/>
        <w:contextualSpacing/>
        <w:jc w:val="center"/>
        <w:rPr>
          <w:rFonts w:ascii="Times New Roman" w:eastAsia="Calibri" w:hAnsi="Times New Roman" w:cs="Calibri"/>
          <w:sz w:val="24"/>
          <w:szCs w:val="24"/>
        </w:rPr>
      </w:pPr>
    </w:p>
    <w:p>
      <w:pPr>
        <w:spacing w:before="0" w:after="0" w:line="240" w:lineRule="auto"/>
        <w:contextualSpacing/>
        <w:jc w:val="center"/>
        <w:rPr>
          <w:rFonts w:ascii="Times New Roman" w:hAnsi="Times New Roman"/>
          <w:b/>
          <w:bCs/>
        </w:rPr>
      </w:pPr>
    </w:p>
    <w:p>
      <w:pPr>
        <w:spacing w:before="0" w:after="0" w:line="240" w:lineRule="auto"/>
        <w:contextualSpacing/>
        <w:jc w:val="center"/>
        <w:rPr>
          <w:rFonts w:ascii="Times New Roman" w:hAnsi="Times New Roman"/>
          <w:b/>
          <w:bCs/>
        </w:rPr>
      </w:pPr>
    </w:p>
    <w:p>
      <w:pPr>
        <w:spacing w:before="0" w:after="0" w:line="240" w:lineRule="auto"/>
        <w:contextualSpacing/>
        <w:jc w:val="center"/>
        <w:rPr>
          <w:rFonts w:ascii="Times New Roman" w:hAnsi="Times New Roman"/>
          <w:b/>
          <w:bCs/>
        </w:rPr>
      </w:pPr>
    </w:p>
    <w:p>
      <w:pPr>
        <w:spacing w:before="0" w:after="0" w:line="240" w:lineRule="auto"/>
        <w:contextualSpacing/>
        <w:jc w:val="center"/>
        <w:rPr>
          <w:rFonts w:ascii="Times New Roman" w:hAnsi="Times New Roman"/>
          <w:b/>
          <w:bCs/>
        </w:rPr>
      </w:pPr>
    </w:p>
    <w:p>
      <w:pPr>
        <w:spacing w:before="0"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eastAsia="Calibri" w:cs="Calibri"/>
          <w:b/>
          <w:bCs/>
          <w:sz w:val="24"/>
          <w:szCs w:val="24"/>
        </w:rPr>
        <w:t>VEREADORA MARA CRISTINA CHOQUETTA</w:t>
      </w:r>
    </w:p>
    <w:p>
      <w:pPr>
        <w:spacing w:before="0"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eastAsia="Calibri" w:cs="Calibri"/>
          <w:sz w:val="24"/>
          <w:szCs w:val="24"/>
        </w:rPr>
        <w:t>Membro</w:t>
      </w:r>
    </w:p>
    <w:p>
      <w:pPr>
        <w:spacing w:before="0" w:after="0" w:line="240" w:lineRule="auto"/>
        <w:contextualSpacing/>
        <w:jc w:val="center"/>
        <w:rPr>
          <w:rFonts w:ascii="Times New Roman" w:eastAsia="Calibri" w:hAnsi="Times New Roman" w:cs="Calibri"/>
          <w:sz w:val="24"/>
          <w:szCs w:val="24"/>
          <w:shd w:val="clear" w:color="auto" w:fill="FFFFFF"/>
        </w:rPr>
      </w:pPr>
    </w:p>
    <w:p>
      <w:pPr>
        <w:spacing w:before="0" w:after="0" w:line="240" w:lineRule="auto"/>
        <w:contextualSpacing/>
        <w:jc w:val="center"/>
        <w:rPr>
          <w:rFonts w:ascii="Times New Roman" w:hAnsi="Times New Roman"/>
        </w:rPr>
      </w:pPr>
    </w:p>
    <w:sectPr>
      <w:headerReference w:type="default" r:id="rId4"/>
      <w:footerReference w:type="default" r:id="rId5"/>
      <w:type w:val="nextPage"/>
      <w:pgSz w:w="11906" w:h="16838"/>
      <w:pgMar w:top="2268" w:right="1417" w:bottom="1398" w:left="1418" w:header="720" w:footer="720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lear" w:pos="720"/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Fone : (019) 3814.1200  - Mogi Mirim – SP         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 xml:space="preserve"> PAGE </w:instrText>
    </w:r>
    <w:r>
      <w:rPr>
        <w:color w:val="000000"/>
        <w:sz w:val="18"/>
        <w:szCs w:val="18"/>
      </w:rPr>
      <w:fldChar w:fldCharType="separate"/>
    </w:r>
    <w:r>
      <w:rPr>
        <w:color w:val="000000"/>
        <w:sz w:val="18"/>
        <w:szCs w:val="18"/>
      </w:rPr>
      <w:t>5</w:t>
    </w:r>
    <w:r>
      <w:rPr>
        <w:color w:val="000000"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ind w:left="0" w:right="360" w:firstLine="0"/>
    </w:pPr>
    <w:r>
      <w:drawing>
        <wp:inline distT="0" distB="0" distL="0" distR="0">
          <wp:extent cx="1038225" cy="752475"/>
          <wp:effectExtent l="0" t="0" r="0" b="0"/>
          <wp:docPr id="1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090940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</w:t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>
    <w:pPr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>
    <w:pPr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  <w:p>
    <w:pPr>
      <w:tabs>
        <w:tab w:val="clear" w:pos="720"/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overflowPunct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qFormat/>
  </w:style>
  <w:style w:type="paragraph" w:customStyle="1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customStyle="1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customStyle="1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customStyle="1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customStyle="1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customStyle="1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color w:val="000000"/>
    </w:rPr>
  </w:style>
  <w:style w:type="character" w:customStyle="1" w:styleId="RodapChar">
    <w:name w:val="Rodapé Char"/>
    <w:basedOn w:val="DefaultParagraphFont"/>
    <w:qFormat/>
  </w:style>
  <w:style w:type="character" w:customStyle="1" w:styleId="CabealhoChar">
    <w:name w:val="Cabeçalho Char"/>
    <w:basedOn w:val="DefaultParagraphFont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customStyle="1" w:styleId="Footer">
    <w:name w:val="Footer"/>
    <w:basedOn w:val="Normal"/>
    <w:link w:val="RodapChar"/>
    <w:pPr>
      <w:tabs>
        <w:tab w:val="clear" w:pos="720"/>
        <w:tab w:val="center" w:pos="4252"/>
        <w:tab w:val="right" w:pos="8504"/>
      </w:tabs>
    </w:pPr>
  </w:style>
  <w:style w:type="paragraph" w:customStyle="1" w:styleId="Header">
    <w:name w:val="Header"/>
    <w:basedOn w:val="Normal"/>
    <w:link w:val="CabealhoChar"/>
    <w:pPr>
      <w:tabs>
        <w:tab w:val="clear" w:pos="720"/>
        <w:tab w:val="center" w:pos="4252"/>
        <w:tab w:val="right" w:pos="8504"/>
      </w:tabs>
    </w:pPr>
  </w:style>
  <w:style w:type="paragraph" w:styleId="ListParagraph">
    <w:name w:val="List Paragraph"/>
    <w:basedOn w:val="Normal"/>
    <w:qFormat/>
    <w:pPr>
      <w:spacing w:before="0" w:after="0"/>
      <w:ind w:left="720" w:right="0" w:firstLine="0"/>
      <w:contextualSpacing/>
    </w:pPr>
  </w:style>
  <w:style w:type="paragraph" w:customStyle="1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1140</Words>
  <Characters>5935</Characters>
  <Application>Microsoft Office Word</Application>
  <DocSecurity>0</DocSecurity>
  <Lines>0</Lines>
  <Paragraphs>55</Paragraphs>
  <ScaleCrop>false</ScaleCrop>
  <Company/>
  <LinksUpToDate>false</LinksUpToDate>
  <CharactersWithSpaces>7071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97</cp:revision>
  <cp:lastPrinted>2022-09-01T11:40:26Z</cp:lastPrinted>
  <dcterms:created xsi:type="dcterms:W3CDTF">2022-06-29T16:35:00Z</dcterms:created>
  <dcterms:modified xsi:type="dcterms:W3CDTF">2022-09-01T11:44:51Z</dcterms:modified>
  <dc:language>pt-BR</dc:language>
</cp:coreProperties>
</file>