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spacing w:line="240" w:lineRule="auto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121 de 2022</w:t>
      </w:r>
    </w:p>
    <w:p w:rsidR="00000000" w:rsidRPr="00000000" w:rsidP="00000000" w14:paraId="00000004">
      <w:pPr>
        <w:spacing w:line="240" w:lineRule="auto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180 de 2022.</w:t>
      </w:r>
    </w:p>
    <w:p w:rsidR="00000000" w:rsidRPr="00000000" w:rsidP="00000000" w14:paraId="00000005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 xml:space="preserve">Conforme determinam os artigos 35 e 39 combinados com o artigo 45 da Resolução 276 de 09 de novembro de 2010 – Regimento Interno da Câmara Municipal, a Comissão Permanente de Justiça e Redação, conjuntamente com a Comissão Permanente de Educação, Saúde, Cultura, Esporte e Assistência Social emitem o presente Relatório acerca do Projeto de Lei n.º 121/2022, de autoria do Exmo. Sr. Prefeito Municipal, sob a relatoria do </w:t>
      </w:r>
      <w:r w:rsidRPr="00000000">
        <w:rPr>
          <w:b/>
          <w:sz w:val="26"/>
          <w:szCs w:val="26"/>
          <w:rtl w:val="0"/>
        </w:rPr>
        <w:t>Vereador João Victor Gasparini.</w:t>
      </w:r>
    </w:p>
    <w:p w:rsidR="00000000" w:rsidRPr="00000000" w:rsidP="00000000" w14:paraId="00000006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7">
      <w:pPr>
        <w:spacing w:before="240" w:line="240" w:lineRule="auto"/>
        <w:ind w:firstLine="720"/>
        <w:jc w:val="both"/>
        <w:rPr>
          <w:b/>
          <w:i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Prefeito Municipal Sr. Paulo de Oliveira e Silva, através da mensagem nº 091/22, envia a esta Casa de Leis o Projeto de Lei nº 121 de 2022, que </w:t>
      </w:r>
      <w:r w:rsidRPr="00000000">
        <w:rPr>
          <w:b/>
          <w:i/>
          <w:sz w:val="26"/>
          <w:szCs w:val="26"/>
          <w:rtl w:val="0"/>
        </w:rPr>
        <w:t>“Autoriza o Município de Mogi Mirim, pelo Poder Executivo, a celebrar Acordo de Cooperação com o SERVIÇO NACIONAL DE APRENDIZAGEM COMERCIAL (SENAC), e dá outras providências”.</w:t>
      </w:r>
    </w:p>
    <w:p w:rsidR="00000000" w:rsidRPr="00000000" w:rsidP="00000000" w14:paraId="00000008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Projeto de Lei em epígrafe visa a indispensável autorização legislativa para que o Município de Mogi Mirim possa realizar Acordo de Cooperação com o SENAC, reconhecido instituto de ensino técnico-profissionalizante, com a finalidade de oferecimento de cursos de capacitação profissional gratuito para população em situação de vulnerabilidade social.</w:t>
      </w:r>
    </w:p>
    <w:p w:rsidR="00000000" w:rsidRPr="00000000" w:rsidP="00000000" w14:paraId="00000009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Serviço Nacional de Aprendizagem Comercial, que já realiza um trabalho semelhante em outras cidades da região, se compromete a oferecer professores e materiais para a realização destes cursos profissionalizantes, enquanto o Município fica encarregado de disponibilizar um local adequado para o oferecimento dessas aulas, de acordo com o artigo 4° do Projeto de Lei em análise. Ao todo serão 8 (oito)  cursos oferecidos pela instituição, que  serão os seguintes:</w:t>
      </w:r>
    </w:p>
    <w:p w:rsidR="00000000" w:rsidRPr="00000000" w:rsidP="00000000" w14:paraId="0000000A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I - Assistente de Marketing e Vendas; </w:t>
      </w:r>
    </w:p>
    <w:p w:rsidR="00000000" w:rsidRPr="00000000" w:rsidP="00000000" w14:paraId="0000000B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II – Vendedor;</w:t>
      </w:r>
    </w:p>
    <w:p w:rsidR="00000000" w:rsidRPr="00000000" w:rsidP="00000000" w14:paraId="0000000C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III - Operador de Caixa;</w:t>
      </w:r>
    </w:p>
    <w:p w:rsidR="00000000" w:rsidRPr="00000000" w:rsidP="00000000" w14:paraId="0000000D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IV - Almoxarife/Estoquista;</w:t>
      </w:r>
    </w:p>
    <w:p w:rsidR="00000000" w:rsidRPr="00000000" w:rsidP="00000000" w14:paraId="0000000E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 - Assistente de Recursos Humanos;</w:t>
      </w:r>
    </w:p>
    <w:p w:rsidR="00000000" w:rsidRPr="00000000" w:rsidP="00000000" w14:paraId="0000000F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 - Promotor de Vendas;</w:t>
      </w:r>
    </w:p>
    <w:p w:rsidR="00000000" w:rsidRPr="00000000" w:rsidP="00000000" w14:paraId="00000010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VII - Recepcionista;</w:t>
      </w:r>
    </w:p>
    <w:p w:rsidR="00000000" w:rsidRPr="00000000" w:rsidP="00000000" w14:paraId="00000011">
      <w:pPr>
        <w:spacing w:before="240"/>
        <w:ind w:left="72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VIII - Assistente Administrativo.</w:t>
      </w:r>
    </w:p>
    <w:p w:rsidR="00000000" w:rsidRPr="00000000" w:rsidP="00000000" w14:paraId="00000012">
      <w:pPr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que, em reunião de comissões realizada nesta Câmara Municipal em 24 de agosto de 2022, representantes do Poder Executivo Municipal informaram que a Prefeitura irá disponibilizar o local onde hoje está o Fundo Social do Município, localizado na Rua Marciliano, n° 610, com entrada pela Rua João Bordignon s/n. O referido imóvel está sob responsabilidade da Secretaria Municipal de Esportes, tendo sido alugado para o Município do Instituto Coronel Venâncio.  Na mesma reunião, fomos informados de que representantes do SENAC já realizaram visita técnica ao local e o aprovaram para a realização dos cursos.</w:t>
      </w:r>
    </w:p>
    <w:p w:rsidR="00000000" w:rsidRPr="00000000" w:rsidP="00000000" w14:paraId="00000013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</w:p>
    <w:p w:rsidR="00000000" w:rsidRPr="00000000" w:rsidP="00000000" w14:paraId="00000014">
      <w:pPr>
        <w:spacing w:before="240" w:line="24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Inicialmente, verifica-se que se trata de um assunto de competência legislativa do Município, conforme determina o artigo 30, inciso I da Constituição Federal, que dispõem sobre:</w:t>
      </w:r>
    </w:p>
    <w:p w:rsidR="00000000" w:rsidRPr="00000000" w:rsidP="00000000" w14:paraId="00000015">
      <w:pPr>
        <w:shd w:val="clear" w:color="auto" w:fill="FFFFFF"/>
        <w:spacing w:before="200" w:after="200" w:line="240" w:lineRule="auto"/>
        <w:ind w:left="4320" w:firstLine="0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>“</w:t>
      </w:r>
      <w:r w:rsidRPr="00000000">
        <w:rPr>
          <w:i/>
          <w:sz w:val="26"/>
          <w:szCs w:val="26"/>
          <w:rtl w:val="0"/>
        </w:rPr>
        <w:t>Art. 30. Compete aos Municípios:</w:t>
      </w:r>
    </w:p>
    <w:p w:rsidR="00000000" w:rsidRPr="00000000" w:rsidP="00000000" w14:paraId="00000016">
      <w:pPr>
        <w:shd w:val="clear" w:color="auto" w:fill="FFFFFF"/>
        <w:spacing w:before="200" w:after="200" w:line="240" w:lineRule="auto"/>
        <w:ind w:left="432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7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Com relação à iniciativa do Projeto, entendemos que é privativa do Prefeito Municipal, considerando o inciso XXXVII do artigo 71 da Lei Orgânica de Mogi Mirim, que prevê como competência do Executivo municipal a propositura de convênio público-privado:</w:t>
      </w:r>
    </w:p>
    <w:p w:rsidR="00000000" w:rsidRPr="00000000" w:rsidP="00000000" w14:paraId="00000018">
      <w:pPr>
        <w:shd w:val="clear" w:color="auto" w:fill="FFFFFF"/>
        <w:spacing w:before="240"/>
        <w:ind w:left="360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71. Compete ao Prefeito, entre outras atribuições:</w:t>
      </w:r>
    </w:p>
    <w:p w:rsidR="00000000" w:rsidRPr="00000000" w:rsidP="00000000" w14:paraId="00000019">
      <w:pPr>
        <w:shd w:val="clear" w:color="auto" w:fill="FFFFFF"/>
        <w:spacing w:before="240"/>
        <w:ind w:left="360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XXXVII – propor convênios, contratos, parcerias público-privadas e ajustes de interesse do Município, com prévia autorização do Legislativo;”</w:t>
      </w:r>
    </w:p>
    <w:p w:rsidR="00000000" w:rsidRPr="00000000" w:rsidP="00000000" w14:paraId="0000001A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 título de instrução processual, solicitamos ao Fundo Social do Município, órgão que coordena esta parceria, mais informações com relação aos cursos e aos impactos dele no Município de Mogi Mirim. Obtivemos resposta por ofício (anexa a este parecer) onde são esclarecidas algumas dúvidas que foram levantadas na análise do Projeto. Com relação ao número de vagas disponíveis para o programa, cada curso tem capacidade para 20 alunos. Considerando que serão 20 vagas para 8 cursos, serão disponibilizadas 160 vagas para os cursos oferecidos por essa parceria entre o SENAC e o Município de Mogi Mirim. </w:t>
      </w:r>
    </w:p>
    <w:p w:rsidR="00000000" w:rsidRPr="00000000" w:rsidP="00000000" w14:paraId="0000001B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Ademais, fomos informados na referida reunião de 24 de agosto de que os cursos serão oferecidos preferencialmente para pessoas com baixa renda e vulnerabilidade social. O controle e triagem para a seleção dos alunos será feito pelo Fundo Social do Município. </w:t>
      </w:r>
    </w:p>
    <w:p w:rsidR="00000000" w:rsidRPr="00000000" w:rsidP="00000000" w14:paraId="0000001C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Ressaltamos ainda que a estimativa para o início dos cursos é na segunda quinzena de setembro, considerando que o processo está adiantado e dependendo apenas da aprovação legislativa para a assinatura do Termo de Cooperação e a disponibilização dos cursos. Salientamos que o contrato pretende ser assinado com prazo de cooperação de 5 (cinco) anos, sem ônus para o Município.</w:t>
      </w:r>
    </w:p>
    <w:p w:rsidR="00000000" w:rsidRPr="00000000" w:rsidP="00000000" w14:paraId="0000001D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Quanto ao interesse social, constata-se tratar de incentivar a capacitação de jovens e adultos para o mercado de trabalho. Sob este aspecto, consideramos a relevante importância do tema para o município de Mogi Mirim. Assim, do ponto de vista social, verifica-se que também não há entraves para a tramitação do Projeto.</w:t>
      </w:r>
    </w:p>
    <w:p w:rsidR="00000000" w:rsidRPr="00000000" w:rsidP="00000000" w14:paraId="0000001E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1F">
      <w:pPr>
        <w:shd w:val="clear" w:color="auto" w:fill="FFFFFF"/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 fim, quanto ao aspecto financeiro, em análise técnica do presente projeto, denota-se que não existe obrigação financeira e orçamentária ao Poder Executivo caso aprovada a proposta de lei. O artigo 2° da propositura garante que não haverá repasses de recursos públicos entre as partes, cabendo apenas o custeio necessário para o bom andamento do projeto.</w:t>
      </w:r>
    </w:p>
    <w:p w:rsidR="00000000" w:rsidRPr="00000000" w:rsidP="00000000" w14:paraId="00000020">
      <w:pPr>
        <w:shd w:val="clear" w:color="auto" w:fill="FFFFFF"/>
        <w:spacing w:before="240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Diante do exposto, considerando a importância social que se reveste a matéria, e tendo em vista que não observamos irregularidades na propositura ora analisada, dessa forma, não se verifica óbice para continuidade da proposta apresentada pelo Executivo Municipal.</w:t>
      </w:r>
    </w:p>
    <w:p w:rsidR="00000000" w:rsidRPr="00000000" w:rsidP="00000000" w14:paraId="00000021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2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Este relator não propõe emenda ao Projeto de Lei em análise.</w:t>
      </w:r>
    </w:p>
    <w:p w:rsidR="00000000" w:rsidRPr="00000000" w:rsidP="00000000" w14:paraId="00000023">
      <w:pPr>
        <w:spacing w:before="240"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4">
      <w:pPr>
        <w:spacing w:before="240" w:line="240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Portanto, diante do exposto, esta relatoria considera que a presente propositura não apresenta vícios de constitucionalidade, recebendo assim parecer</w:t>
      </w:r>
      <w:r w:rsidRPr="00000000">
        <w:rPr>
          <w:b/>
          <w:sz w:val="26"/>
          <w:szCs w:val="26"/>
          <w:rtl w:val="0"/>
        </w:rPr>
        <w:t xml:space="preserve"> FAVORÁVEL.</w:t>
      </w:r>
    </w:p>
    <w:p w:rsidR="00000000" w:rsidRPr="00000000" w:rsidP="00000000" w14:paraId="00000025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6">
      <w:pPr>
        <w:spacing w:before="240"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7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28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29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A">
      <w:pPr>
        <w:spacing w:line="240" w:lineRule="auto"/>
        <w:jc w:val="both"/>
        <w:rPr>
          <w:b/>
          <w:sz w:val="26"/>
          <w:szCs w:val="26"/>
        </w:rPr>
      </w:pPr>
    </w:p>
    <w:p w:rsidR="00000000" w:rsidRPr="00000000" w:rsidP="00000000" w14:paraId="0000002B">
      <w:pPr>
        <w:spacing w:line="24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 E COMISSÃO DE EDUCAÇÃO, SAÚDE, CULTURA, ESPORTE E ASSISTÊNCIA SOCIAL;</w:t>
      </w:r>
    </w:p>
    <w:p w:rsidR="00000000" w:rsidRPr="00000000" w:rsidP="00000000" w14:paraId="0000002C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2D">
      <w:pPr>
        <w:spacing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 e 39, combinados com artigo 45 da Resolução n°  276 de 09 de novembro de 2010 a Comissão de Justiça e Redação conjuntamente com as Comissões Permanentes de Exames de Assuntos Industriais e Comerciais e de Finanças e Orçamento formalizam o presente </w:t>
      </w:r>
      <w:r w:rsidRPr="00000000">
        <w:rPr>
          <w:b/>
          <w:sz w:val="26"/>
          <w:szCs w:val="26"/>
          <w:rtl w:val="0"/>
        </w:rPr>
        <w:t>PARECER FAVORÁVEL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2E">
      <w:pPr>
        <w:spacing w:line="240" w:lineRule="auto"/>
        <w:ind w:left="0" w:firstLine="0"/>
        <w:jc w:val="both"/>
        <w:rPr>
          <w:sz w:val="26"/>
          <w:szCs w:val="26"/>
        </w:rPr>
      </w:pPr>
    </w:p>
    <w:p w:rsidR="00000000" w:rsidRPr="00000000" w:rsidP="00000000" w14:paraId="0000002F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30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>19</w:t>
      </w:r>
      <w:r w:rsidRPr="00000000">
        <w:rPr>
          <w:color w:val="000000"/>
          <w:sz w:val="26"/>
          <w:szCs w:val="26"/>
          <w:highlight w:val="white"/>
          <w:rtl w:val="0"/>
        </w:rPr>
        <w:t xml:space="preserve"> de </w:t>
      </w:r>
      <w:r w:rsidRPr="00000000">
        <w:rPr>
          <w:sz w:val="26"/>
          <w:szCs w:val="26"/>
          <w:highlight w:val="white"/>
          <w:rtl w:val="0"/>
        </w:rPr>
        <w:t xml:space="preserve">Agosto </w:t>
      </w:r>
      <w:r w:rsidRPr="00000000">
        <w:rPr>
          <w:color w:val="000000"/>
          <w:sz w:val="26"/>
          <w:szCs w:val="26"/>
          <w:highlight w:val="white"/>
          <w:rtl w:val="0"/>
        </w:rPr>
        <w:t>de 2022</w:t>
      </w:r>
      <w:r w:rsidRPr="00000000">
        <w:rPr>
          <w:sz w:val="26"/>
          <w:szCs w:val="26"/>
          <w:highlight w:val="white"/>
          <w:rtl w:val="0"/>
        </w:rPr>
        <w:t>.</w:t>
      </w:r>
    </w:p>
    <w:p w:rsidR="00000000" w:rsidRPr="00000000" w:rsidP="00000000" w14:paraId="00000031">
      <w:pPr>
        <w:spacing w:line="240" w:lineRule="auto"/>
        <w:jc w:val="center"/>
        <w:rPr>
          <w:sz w:val="26"/>
          <w:szCs w:val="26"/>
          <w:highlight w:val="white"/>
        </w:rPr>
      </w:pPr>
    </w:p>
    <w:p w:rsidR="00000000" w:rsidRPr="00000000" w:rsidP="00000000" w14:paraId="00000032">
      <w:pPr>
        <w:spacing w:after="240" w:line="240" w:lineRule="auto"/>
        <w:rPr>
          <w:b/>
          <w:sz w:val="26"/>
          <w:szCs w:val="26"/>
        </w:rPr>
      </w:pPr>
    </w:p>
    <w:p w:rsidR="00000000" w:rsidRPr="00000000" w:rsidP="00000000" w14:paraId="00000033">
      <w:pPr>
        <w:spacing w:line="240" w:lineRule="auto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4">
      <w:pPr>
        <w:spacing w:after="240" w:line="240" w:lineRule="auto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35">
      <w:pPr>
        <w:spacing w:line="240" w:lineRule="auto"/>
        <w:jc w:val="center"/>
        <w:rPr>
          <w:b/>
          <w:sz w:val="26"/>
          <w:szCs w:val="26"/>
        </w:rPr>
      </w:pPr>
    </w:p>
    <w:p w:rsidR="00000000" w:rsidRPr="00000000" w:rsidP="00000000" w14:paraId="00000036">
      <w:pPr>
        <w:spacing w:line="240" w:lineRule="auto"/>
        <w:rPr>
          <w:b/>
          <w:sz w:val="26"/>
          <w:szCs w:val="26"/>
        </w:rPr>
      </w:pPr>
    </w:p>
    <w:p w:rsidR="00000000" w:rsidRPr="00000000" w:rsidP="00000000" w14:paraId="00000037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8">
      <w:pPr>
        <w:spacing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39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A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B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C">
      <w:pPr>
        <w:spacing w:line="240" w:lineRule="auto"/>
        <w:jc w:val="center"/>
        <w:rPr>
          <w:sz w:val="26"/>
          <w:szCs w:val="26"/>
        </w:rPr>
      </w:pPr>
    </w:p>
    <w:p w:rsidR="00000000" w:rsidRPr="00000000" w:rsidP="00000000" w14:paraId="0000003D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3E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F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0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41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42">
      <w:pPr>
        <w:spacing w:after="240" w:line="240" w:lineRule="auto"/>
        <w:rPr>
          <w:sz w:val="26"/>
          <w:szCs w:val="26"/>
        </w:rPr>
      </w:pPr>
    </w:p>
    <w:p w:rsidR="00000000" w:rsidRPr="00000000" w:rsidP="00000000" w14:paraId="00000043">
      <w:pPr>
        <w:spacing w:line="240" w:lineRule="auto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44">
      <w:pPr>
        <w:spacing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45">
      <w:pPr>
        <w:spacing w:after="240" w:line="240" w:lineRule="auto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6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7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8">
      <w:pPr>
        <w:spacing w:after="240" w:line="240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9">
      <w:pPr>
        <w:spacing w:before="240" w:after="240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EDUCAÇÃO, SAÚDE, CULTURA, ESPORTES E ASSISTÊNCIA SOCIAL</w:t>
      </w:r>
    </w:p>
    <w:p w:rsidR="00000000" w:rsidRPr="00000000" w:rsidP="00000000" w14:paraId="0000004A">
      <w:pPr>
        <w:spacing w:before="240" w:after="240"/>
        <w:rPr>
          <w:b/>
          <w:sz w:val="26"/>
          <w:szCs w:val="26"/>
          <w:u w:val="single"/>
        </w:rPr>
      </w:pPr>
    </w:p>
    <w:p w:rsidR="00000000" w:rsidRPr="00000000" w:rsidP="00000000" w14:paraId="0000004B">
      <w:pPr>
        <w:spacing w:before="240" w:after="240"/>
        <w:rPr>
          <w:b/>
          <w:sz w:val="26"/>
          <w:szCs w:val="26"/>
          <w:u w:val="single"/>
        </w:rPr>
      </w:pPr>
    </w:p>
    <w:p w:rsidR="00000000" w:rsidRPr="00000000" w:rsidP="00000000" w14:paraId="0000004C">
      <w:pPr>
        <w:spacing w:before="240" w:after="240"/>
        <w:rPr>
          <w:b/>
          <w:sz w:val="26"/>
          <w:szCs w:val="26"/>
          <w:u w:val="single"/>
        </w:rPr>
      </w:pPr>
    </w:p>
    <w:p w:rsidR="00000000" w:rsidRPr="00000000" w:rsidP="00000000" w14:paraId="0000004D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4E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4F">
      <w:pPr>
        <w:spacing w:before="240" w:after="240"/>
        <w:rPr>
          <w:sz w:val="26"/>
          <w:szCs w:val="26"/>
        </w:rPr>
      </w:pPr>
    </w:p>
    <w:p w:rsidR="00000000" w:rsidRPr="00000000" w:rsidP="00000000" w14:paraId="00000050">
      <w:pPr>
        <w:spacing w:before="240" w:after="240"/>
        <w:rPr>
          <w:sz w:val="26"/>
          <w:szCs w:val="26"/>
        </w:rPr>
      </w:pPr>
    </w:p>
    <w:p w:rsidR="00000000" w:rsidRPr="00000000" w:rsidP="00000000" w14:paraId="00000051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2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3">
      <w:pPr>
        <w:spacing w:before="240"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54">
      <w:pPr>
        <w:spacing w:before="240" w:after="240"/>
        <w:rPr>
          <w:sz w:val="26"/>
          <w:szCs w:val="26"/>
        </w:rPr>
      </w:pPr>
    </w:p>
    <w:p w:rsidR="00000000" w:rsidRPr="00000000" w:rsidP="00000000" w14:paraId="00000055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56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7">
      <w:pPr>
        <w:spacing w:after="240"/>
        <w:jc w:val="center"/>
        <w:rPr>
          <w:sz w:val="26"/>
          <w:szCs w:val="26"/>
          <w:highlight w:val="whit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83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2027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