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RELATÓRIO </w:t>
      </w:r>
    </w:p>
    <w:p w:rsidR="00000000" w:rsidRPr="00000000" w:rsidP="00000000" w14:paraId="00000003">
      <w:pPr>
        <w:spacing w:line="240" w:lineRule="auto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Projeto de Lei n.º 121 de 2022</w:t>
      </w:r>
    </w:p>
    <w:p w:rsidR="00000000" w:rsidRPr="00000000" w:rsidP="00000000" w14:paraId="00000004">
      <w:pPr>
        <w:spacing w:line="240" w:lineRule="auto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Processo nº 180 de 2022.</w:t>
      </w:r>
    </w:p>
    <w:p w:rsidR="00000000" w:rsidRPr="00000000" w:rsidP="00000000" w14:paraId="00000005">
      <w:pPr>
        <w:spacing w:before="240" w:line="240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ab/>
      </w:r>
      <w:r w:rsidRPr="00000000">
        <w:rPr>
          <w:sz w:val="26"/>
          <w:szCs w:val="26"/>
          <w:rtl w:val="0"/>
        </w:rPr>
        <w:t xml:space="preserve">Conforme determinam os artigos 35 e 39 combinados com o artigo 45 da Resolução 276 de 09 de novembro de 2010 – Regimento Interno da Câmara Municipal, a Comissão Permanente de Justiça e Redação, conjuntamente com a Comissão Permanente de Educação, Saúde, Cultura, Esporte e Assistência Social emitem o presente Relatório acerca do Projeto de Lei n.º 121/2022, de autoria do Exmo. Sr. Prefeito Municipal, sob a relatoria do </w:t>
      </w:r>
      <w:r w:rsidRPr="00000000">
        <w:rPr>
          <w:b/>
          <w:sz w:val="26"/>
          <w:szCs w:val="26"/>
          <w:rtl w:val="0"/>
        </w:rPr>
        <w:t>Vereador João Victor Gasparini.</w:t>
      </w:r>
    </w:p>
    <w:p w:rsidR="00000000" w:rsidRPr="00000000" w:rsidP="00000000" w14:paraId="00000006">
      <w:pPr>
        <w:spacing w:before="240" w:line="240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I. Exposição da Matéria</w:t>
      </w:r>
    </w:p>
    <w:p w:rsidR="00000000" w:rsidRPr="00000000" w:rsidP="00000000" w14:paraId="00000007">
      <w:pPr>
        <w:spacing w:before="240" w:line="240" w:lineRule="auto"/>
        <w:ind w:firstLine="720"/>
        <w:jc w:val="both"/>
        <w:rPr>
          <w:b/>
          <w:i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O Prefeito Municipal Sr. Paulo de Oliveira e Silva, através da mensagem nº 091/22, envia a esta Casa de Leis o Projeto de Lei nº 121 de 2022, que </w:t>
      </w:r>
      <w:r w:rsidRPr="00000000">
        <w:rPr>
          <w:b/>
          <w:i/>
          <w:sz w:val="26"/>
          <w:szCs w:val="26"/>
          <w:rtl w:val="0"/>
        </w:rPr>
        <w:t>“Autoriza o Município de Mogi Mirim, pelo Poder Executivo, a celebrar Acordo de Cooperação com o SERVIÇO NACIONAL DE APRENDIZAGEM COMERCIAL (SENAC), e dá outras providências”.</w:t>
      </w:r>
    </w:p>
    <w:p w:rsidR="00000000" w:rsidRPr="00000000" w:rsidP="00000000" w14:paraId="00000008">
      <w:pPr>
        <w:spacing w:before="240" w:line="240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O Projeto de Lei em epígrafe visa a indispensável autorização legislativa para que o Município de Mogi Mirim possa realizar Acordo de Cooperação com o SENAC, reconhecido instituto de ensino técnico-profissionalizante, com a finalidade de oferecimento de cursos de capacitação profissional gratuito para população em situação de vulnerabilidade social.</w:t>
      </w:r>
    </w:p>
    <w:p w:rsidR="00000000" w:rsidRPr="00000000" w:rsidP="00000000" w14:paraId="00000009">
      <w:pPr>
        <w:spacing w:before="240" w:line="240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O Serviço Nacional de Aprendizagem Comercial, que já realiza um trabalho semelhante em outras cidades da região, se compromete a oferecer professores e materiais para a realização destes cursos profissionalizantes, enquanto o Município fica encarregado de disponibilizar um local adequado para o oferecimento dessas aulas, de acordo com o artigo 4° do Projeto de Lei em análise. Ao todo serão 8 (oito)  cursos oferecidos pela instituição, que  serão os seguintes:</w:t>
      </w:r>
    </w:p>
    <w:p w:rsidR="00000000" w:rsidRPr="00000000" w:rsidP="00000000" w14:paraId="0000000A">
      <w:pPr>
        <w:spacing w:before="240"/>
        <w:ind w:left="72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I - Assistente de Marketing e Vendas; </w:t>
      </w:r>
    </w:p>
    <w:p w:rsidR="00000000" w:rsidRPr="00000000" w:rsidP="00000000" w14:paraId="0000000B">
      <w:pPr>
        <w:spacing w:before="240"/>
        <w:ind w:left="72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II – Vendedor;</w:t>
      </w:r>
    </w:p>
    <w:p w:rsidR="00000000" w:rsidRPr="00000000" w:rsidP="00000000" w14:paraId="0000000C">
      <w:pPr>
        <w:spacing w:before="240"/>
        <w:ind w:left="72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III - Operador de Caixa;</w:t>
      </w:r>
    </w:p>
    <w:p w:rsidR="00000000" w:rsidRPr="00000000" w:rsidP="00000000" w14:paraId="0000000D">
      <w:pPr>
        <w:spacing w:before="240"/>
        <w:ind w:left="72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IV - Almoxarife/Estoquista;</w:t>
      </w:r>
    </w:p>
    <w:p w:rsidR="00000000" w:rsidRPr="00000000" w:rsidP="00000000" w14:paraId="0000000E">
      <w:pPr>
        <w:spacing w:before="240"/>
        <w:ind w:left="72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 - Assistente de Recursos Humanos;</w:t>
      </w:r>
    </w:p>
    <w:p w:rsidR="00000000" w:rsidRPr="00000000" w:rsidP="00000000" w14:paraId="0000000F">
      <w:pPr>
        <w:spacing w:before="240"/>
        <w:ind w:left="72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VI - Promotor de Vendas;</w:t>
      </w:r>
    </w:p>
    <w:p w:rsidR="00000000" w:rsidRPr="00000000" w:rsidP="00000000" w14:paraId="00000010">
      <w:pPr>
        <w:spacing w:before="240"/>
        <w:ind w:left="72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VII - Recepcionista;</w:t>
      </w:r>
    </w:p>
    <w:p w:rsidR="00000000" w:rsidRPr="00000000" w:rsidP="00000000" w14:paraId="00000011">
      <w:pPr>
        <w:spacing w:before="240"/>
        <w:ind w:left="72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VIII - Assistente Administrativo.</w:t>
      </w:r>
    </w:p>
    <w:p w:rsidR="00000000" w:rsidRPr="00000000" w:rsidP="00000000" w14:paraId="00000012">
      <w:pPr>
        <w:spacing w:before="240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Cabe ressaltar que, em reunião de comissões realizada nesta Câmara Municipal em 24 de agosto de 2022, representantes do Poder Executivo Municipal informaram que a Prefeitura irá disponibilizar o local onde hoje está o Fundo Social do Município, localizado na Rua Marciliano, n° 610, com entrada pela Rua João Bordignon s/n. O referido imóvel está sob responsabilidade da Secretaria Municipal de Esportes, tendo sido alugado para o Município do Instituto Coronel Venâncio.  Na mesma reunião, fomos informados de que representantes do SENAC já realizaram visita técnica ao local e o aprovaram para a realização dos cursos.</w:t>
      </w:r>
    </w:p>
    <w:p w:rsidR="00000000" w:rsidRPr="00000000" w:rsidP="00000000" w14:paraId="00000013">
      <w:pPr>
        <w:spacing w:before="240" w:line="240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II. Do mérito e conclusões do relator</w:t>
      </w:r>
    </w:p>
    <w:p w:rsidR="00000000" w:rsidRPr="00000000" w:rsidP="00000000" w14:paraId="00000014">
      <w:pPr>
        <w:spacing w:before="240" w:line="240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ab/>
      </w:r>
      <w:r w:rsidRPr="00000000">
        <w:rPr>
          <w:sz w:val="26"/>
          <w:szCs w:val="26"/>
          <w:rtl w:val="0"/>
        </w:rPr>
        <w:t>Inicialmente, verifica-se que se trata de um assunto de competência legislativa do Município, conforme determina o artigo 30, inciso I da Constituição Federal, que dispõem sobre:</w:t>
      </w:r>
    </w:p>
    <w:p w:rsidR="00000000" w:rsidRPr="00000000" w:rsidP="00000000" w14:paraId="00000015">
      <w:pPr>
        <w:shd w:val="clear" w:color="auto" w:fill="FFFFFF"/>
        <w:spacing w:before="200" w:after="200" w:line="240" w:lineRule="auto"/>
        <w:ind w:left="4320" w:firstLine="0"/>
        <w:jc w:val="both"/>
        <w:rPr>
          <w:i/>
          <w:sz w:val="26"/>
          <w:szCs w:val="26"/>
        </w:rPr>
      </w:pPr>
      <w:r w:rsidRPr="00000000">
        <w:rPr>
          <w:sz w:val="26"/>
          <w:szCs w:val="26"/>
          <w:rtl w:val="0"/>
        </w:rPr>
        <w:t>“</w:t>
      </w:r>
      <w:r w:rsidRPr="00000000">
        <w:rPr>
          <w:i/>
          <w:sz w:val="26"/>
          <w:szCs w:val="26"/>
          <w:rtl w:val="0"/>
        </w:rPr>
        <w:t>Art. 30. Compete aos Municípios:</w:t>
      </w:r>
    </w:p>
    <w:p w:rsidR="00000000" w:rsidRPr="00000000" w:rsidP="00000000" w14:paraId="00000016">
      <w:pPr>
        <w:shd w:val="clear" w:color="auto" w:fill="FFFFFF"/>
        <w:spacing w:before="200" w:after="200" w:line="240" w:lineRule="auto"/>
        <w:ind w:left="4320" w:firstLine="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I - legislar sobre assuntos de interesse local;”</w:t>
      </w:r>
    </w:p>
    <w:p w:rsidR="00000000" w:rsidRPr="00000000" w:rsidP="00000000" w14:paraId="00000017">
      <w:pPr>
        <w:shd w:val="clear" w:color="auto" w:fill="FFFFFF"/>
        <w:spacing w:before="240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Com relação à iniciativa do Projeto, entendemos que é privativa do Prefeito Municipal, considerando o inciso XXXVII do artigo 71 da Lei Orgânica de Mogi Mirim, que prevê como competência do Executivo municipal a propositura de convênio público-privado:</w:t>
      </w:r>
    </w:p>
    <w:p w:rsidR="00000000" w:rsidRPr="00000000" w:rsidP="00000000" w14:paraId="00000018">
      <w:pPr>
        <w:shd w:val="clear" w:color="auto" w:fill="FFFFFF"/>
        <w:spacing w:before="240"/>
        <w:ind w:left="3600" w:firstLine="72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71. Compete ao Prefeito, entre outras atribuições:</w:t>
      </w:r>
    </w:p>
    <w:p w:rsidR="00000000" w:rsidRPr="00000000" w:rsidP="00000000" w14:paraId="00000019">
      <w:pPr>
        <w:shd w:val="clear" w:color="auto" w:fill="FFFFFF"/>
        <w:spacing w:before="240"/>
        <w:ind w:left="3600" w:firstLine="72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XXXVII – propor convênios, contratos, parcerias público-privadas e ajustes de interesse do Município, com prévia autorização do Legislativo;”</w:t>
      </w:r>
    </w:p>
    <w:p w:rsidR="00000000" w:rsidRPr="00000000" w:rsidP="00000000" w14:paraId="0000001A">
      <w:pPr>
        <w:shd w:val="clear" w:color="auto" w:fill="FFFFFF"/>
        <w:spacing w:before="240" w:after="240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A título de instrução processual, solicitamos ao Fundo Social do Município, órgão que coordena esta parceria, mais informações com relação aos cursos e aos impactos dele no Município de Mogi Mirim. Obtivemos resposta por ofício (anexa a este parecer) onde são esclarecidas algumas dúvidas que foram levantadas na análise do Projeto. Com relação ao número de vagas disponíveis para o programa, cada curso tem capacidade para 20 alunos. Considerando que serão 20 vagas para 8 cursos, serão disponibilizadas 160 vagas para os cursos oferecidos por essa parceria entre o SENAC e o Município de Mogi Mirim. </w:t>
      </w:r>
    </w:p>
    <w:p w:rsidR="00000000" w:rsidRPr="00000000" w:rsidP="00000000" w14:paraId="0000001B">
      <w:pPr>
        <w:shd w:val="clear" w:color="auto" w:fill="FFFFFF"/>
        <w:spacing w:before="240" w:after="240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Ademais, fomos informados na referida reunião de 24 de agosto de que os cursos serão oferecidos preferencialmente para pessoas com baixa renda e vulnerabilidade social. O controle e triagem para a seleção dos alunos será feito pelo Fundo Social do Município. </w:t>
      </w:r>
    </w:p>
    <w:p w:rsidR="00000000" w:rsidRPr="00000000" w:rsidP="00000000" w14:paraId="0000001C">
      <w:pPr>
        <w:shd w:val="clear" w:color="auto" w:fill="FFFFFF"/>
        <w:spacing w:before="240" w:after="240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Ressaltamos ainda que a estimativa para o início dos cursos é na segunda quinzena de setembro, considerando que o processo está adiantado e dependendo apenas da aprovação legislativa para a assinatura do Termo de Cooperação e a disponibilização dos cursos. Salientamos que o contrato pretende ser assinado com prazo de cooperação de 5 (cinco) anos, sem ônus para o Município.</w:t>
      </w:r>
    </w:p>
    <w:p w:rsidR="00000000" w:rsidRPr="00000000" w:rsidP="00000000" w14:paraId="0000001D">
      <w:pPr>
        <w:shd w:val="clear" w:color="auto" w:fill="FFFFFF"/>
        <w:spacing w:before="240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Quanto ao interesse social, constata-se tratar de incentivar a capacitação de jovens e adultos para o mercado de trabalho. Sob este aspecto, consideramos a relevante importância do tema para o município de Mogi Mirim. Assim, do ponto de vista social, verifica-se que também não há entraves para a tramitação do Projeto.</w:t>
      </w:r>
    </w:p>
    <w:p w:rsidR="00000000" w:rsidRPr="00000000" w:rsidP="00000000" w14:paraId="0000001E">
      <w:pPr>
        <w:shd w:val="clear" w:color="auto" w:fill="FFFFFF"/>
        <w:spacing w:before="240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Já no tocante ao aspecto gramatical e lógico, verifica-se que houve respeito às regras ortográficas e técnica legislativa, não havendo apontamentos neste sentido.</w:t>
      </w:r>
    </w:p>
    <w:p w:rsidR="00000000" w:rsidRPr="00000000" w:rsidP="00000000" w14:paraId="0000001F">
      <w:pPr>
        <w:shd w:val="clear" w:color="auto" w:fill="FFFFFF"/>
        <w:spacing w:before="240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Por fim, quanto ao aspecto financeiro, em análise técnica do presente projeto, denota-se que não existe obrigação financeira e orçamentária ao Poder Executivo caso aprovada a proposta de lei. O artigo 2° da propositura garante que não haverá repasses de recursos públicos entre as partes, cabendo apenas o custeio necessário para o bom andamento do projeto.</w:t>
      </w:r>
    </w:p>
    <w:p w:rsidR="00000000" w:rsidRPr="00000000" w:rsidP="00000000" w14:paraId="00000020">
      <w:pPr>
        <w:shd w:val="clear" w:color="auto" w:fill="FFFFFF"/>
        <w:spacing w:before="240"/>
        <w:ind w:firstLine="720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>Diante do exposto, considerando a importância social que se reveste a matéria, e tendo em vista que não observamos irregularidades na propositura ora analisada, dessa forma, não se verifica óbice para continuidade da proposta apresentada pelo Executivo Municipal.</w:t>
      </w:r>
    </w:p>
    <w:p w:rsidR="00000000" w:rsidRPr="00000000" w:rsidP="00000000" w14:paraId="00000021">
      <w:pPr>
        <w:spacing w:before="240" w:line="240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22">
      <w:pPr>
        <w:spacing w:before="240" w:line="240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ab/>
      </w:r>
      <w:r w:rsidRPr="00000000">
        <w:rPr>
          <w:sz w:val="26"/>
          <w:szCs w:val="26"/>
          <w:rtl w:val="0"/>
        </w:rPr>
        <w:t>Este relator não propõe emenda ao Projeto de Lei em análise.</w:t>
      </w:r>
    </w:p>
    <w:p w:rsidR="00000000" w:rsidRPr="00000000" w:rsidP="00000000" w14:paraId="00000023">
      <w:pPr>
        <w:spacing w:before="240" w:line="240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IV. Decisão do Relator.</w:t>
      </w:r>
    </w:p>
    <w:p w:rsidR="00000000" w:rsidRPr="00000000" w:rsidP="00000000" w14:paraId="00000024">
      <w:pPr>
        <w:spacing w:before="240" w:line="240" w:lineRule="auto"/>
        <w:ind w:firstLine="720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>Portanto, diante do exposto, esta relatoria considera que a presente propositura não apresenta vícios de constitucionalidade, recebendo assim parecer</w:t>
      </w:r>
      <w:r w:rsidRPr="00000000">
        <w:rPr>
          <w:b/>
          <w:sz w:val="26"/>
          <w:szCs w:val="26"/>
          <w:rtl w:val="0"/>
        </w:rPr>
        <w:t xml:space="preserve"> FAVORÁVEL.</w:t>
      </w:r>
    </w:p>
    <w:p w:rsidR="00000000" w:rsidRPr="00000000" w:rsidP="00000000" w14:paraId="00000025">
      <w:pPr>
        <w:spacing w:before="240" w:line="240" w:lineRule="auto"/>
        <w:jc w:val="both"/>
        <w:rPr>
          <w:b/>
          <w:sz w:val="26"/>
          <w:szCs w:val="26"/>
        </w:rPr>
      </w:pPr>
    </w:p>
    <w:p w:rsidR="00000000" w:rsidRPr="00000000" w:rsidP="00000000" w14:paraId="00000026">
      <w:pPr>
        <w:spacing w:before="240" w:line="240" w:lineRule="auto"/>
        <w:jc w:val="both"/>
        <w:rPr>
          <w:b/>
          <w:sz w:val="26"/>
          <w:szCs w:val="26"/>
        </w:rPr>
      </w:pPr>
    </w:p>
    <w:p w:rsidR="00000000" w:rsidRPr="00000000" w:rsidP="00000000" w14:paraId="00000027">
      <w:pPr>
        <w:spacing w:line="240" w:lineRule="auto"/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28">
      <w:pPr>
        <w:spacing w:line="240" w:lineRule="auto"/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Presidente / Relator</w:t>
      </w:r>
    </w:p>
    <w:p w:rsidR="00000000" w:rsidRPr="00000000" w:rsidP="00000000" w14:paraId="00000029">
      <w:pPr>
        <w:spacing w:line="240" w:lineRule="auto"/>
        <w:jc w:val="both"/>
        <w:rPr>
          <w:b/>
          <w:sz w:val="26"/>
          <w:szCs w:val="26"/>
        </w:rPr>
      </w:pPr>
    </w:p>
    <w:p w:rsidR="00000000" w:rsidRPr="00000000" w:rsidP="00000000" w14:paraId="0000002A">
      <w:pPr>
        <w:spacing w:line="240" w:lineRule="auto"/>
        <w:jc w:val="both"/>
        <w:rPr>
          <w:b/>
          <w:sz w:val="26"/>
          <w:szCs w:val="26"/>
        </w:rPr>
      </w:pPr>
    </w:p>
    <w:p w:rsidR="00000000" w:rsidRPr="00000000" w:rsidP="00000000" w14:paraId="0000002B">
      <w:pPr>
        <w:spacing w:line="240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PARECER CONJUNTO N.º     /2022 DA COMISSÃO DE JUSTIÇA E REDAÇÃO E COMISSÃO DE EDUCAÇÃO, SAÚDE, CULTURA, ESPORTE E ASSISTÊNCIA SOCIAL;</w:t>
      </w:r>
    </w:p>
    <w:p w:rsidR="00000000" w:rsidRPr="00000000" w:rsidP="00000000" w14:paraId="0000002C">
      <w:pPr>
        <w:spacing w:after="240" w:line="240" w:lineRule="auto"/>
        <w:rPr>
          <w:sz w:val="26"/>
          <w:szCs w:val="26"/>
        </w:rPr>
      </w:pPr>
    </w:p>
    <w:p w:rsidR="00000000" w:rsidRPr="00000000" w:rsidP="00000000" w14:paraId="0000002D">
      <w:pPr>
        <w:spacing w:line="240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Seguindo o Voto exarado pelo Relator e conforme determinam os artigos 35 e 39, combinados com artigo 45 da Resolução n°  276 de 09 de novembro de 2010 a Comissão de Justiça e Redação conjuntamente com as Comissões Permanentes de Exames de Assuntos Industriais e Comerciais e de Finanças e Orçamento formalizam o presente </w:t>
      </w:r>
      <w:r w:rsidRPr="00000000">
        <w:rPr>
          <w:b/>
          <w:sz w:val="26"/>
          <w:szCs w:val="26"/>
          <w:rtl w:val="0"/>
        </w:rPr>
        <w:t>PARECER FAVORÁVEL</w:t>
      </w:r>
      <w:r w:rsidRPr="00000000">
        <w:rPr>
          <w:sz w:val="26"/>
          <w:szCs w:val="26"/>
          <w:rtl w:val="0"/>
        </w:rPr>
        <w:t>.</w:t>
      </w:r>
    </w:p>
    <w:p w:rsidR="00000000" w:rsidRPr="00000000" w:rsidP="00000000" w14:paraId="0000002E">
      <w:pPr>
        <w:spacing w:line="240" w:lineRule="auto"/>
        <w:ind w:left="0" w:firstLine="0"/>
        <w:jc w:val="both"/>
        <w:rPr>
          <w:sz w:val="26"/>
          <w:szCs w:val="26"/>
        </w:rPr>
      </w:pPr>
    </w:p>
    <w:p w:rsidR="00000000" w:rsidRPr="00000000" w:rsidP="00000000" w14:paraId="0000002F">
      <w:pPr>
        <w:spacing w:line="240" w:lineRule="auto"/>
        <w:jc w:val="center"/>
        <w:rPr>
          <w:sz w:val="26"/>
          <w:szCs w:val="26"/>
          <w:highlight w:val="white"/>
        </w:rPr>
      </w:pPr>
    </w:p>
    <w:p w:rsidR="00000000" w:rsidRPr="00000000" w:rsidP="00000000" w14:paraId="00000030">
      <w:pPr>
        <w:spacing w:line="240" w:lineRule="auto"/>
        <w:jc w:val="center"/>
        <w:rPr>
          <w:sz w:val="26"/>
          <w:szCs w:val="26"/>
          <w:highlight w:val="white"/>
        </w:rPr>
      </w:pPr>
      <w:r w:rsidRPr="00000000">
        <w:rPr>
          <w:color w:val="000000"/>
          <w:sz w:val="26"/>
          <w:szCs w:val="26"/>
          <w:highlight w:val="white"/>
          <w:rtl w:val="0"/>
        </w:rPr>
        <w:t xml:space="preserve">Sala das Comissões, em </w:t>
      </w:r>
      <w:r w:rsidRPr="00000000">
        <w:rPr>
          <w:sz w:val="26"/>
          <w:szCs w:val="26"/>
          <w:highlight w:val="white"/>
          <w:rtl w:val="0"/>
        </w:rPr>
        <w:t>19</w:t>
      </w:r>
      <w:r w:rsidRPr="00000000">
        <w:rPr>
          <w:color w:val="000000"/>
          <w:sz w:val="26"/>
          <w:szCs w:val="26"/>
          <w:highlight w:val="white"/>
          <w:rtl w:val="0"/>
        </w:rPr>
        <w:t xml:space="preserve"> de </w:t>
      </w:r>
      <w:r w:rsidRPr="00000000">
        <w:rPr>
          <w:sz w:val="26"/>
          <w:szCs w:val="26"/>
          <w:highlight w:val="white"/>
          <w:rtl w:val="0"/>
        </w:rPr>
        <w:t xml:space="preserve">Agosto </w:t>
      </w:r>
      <w:r w:rsidRPr="00000000">
        <w:rPr>
          <w:color w:val="000000"/>
          <w:sz w:val="26"/>
          <w:szCs w:val="26"/>
          <w:highlight w:val="white"/>
          <w:rtl w:val="0"/>
        </w:rPr>
        <w:t>de 2022</w:t>
      </w:r>
      <w:r w:rsidRPr="00000000">
        <w:rPr>
          <w:sz w:val="26"/>
          <w:szCs w:val="26"/>
          <w:highlight w:val="white"/>
          <w:rtl w:val="0"/>
        </w:rPr>
        <w:t>.</w:t>
      </w:r>
    </w:p>
    <w:p w:rsidR="00000000" w:rsidRPr="00000000" w:rsidP="00000000" w14:paraId="00000031">
      <w:pPr>
        <w:spacing w:line="240" w:lineRule="auto"/>
        <w:jc w:val="center"/>
        <w:rPr>
          <w:sz w:val="26"/>
          <w:szCs w:val="26"/>
          <w:highlight w:val="white"/>
        </w:rPr>
      </w:pPr>
    </w:p>
    <w:p w:rsidR="00000000" w:rsidRPr="00000000" w:rsidP="00000000" w14:paraId="00000032">
      <w:pPr>
        <w:spacing w:after="240" w:line="240" w:lineRule="auto"/>
        <w:rPr>
          <w:b/>
          <w:sz w:val="26"/>
          <w:szCs w:val="26"/>
        </w:rPr>
      </w:pPr>
    </w:p>
    <w:p w:rsidR="00000000" w:rsidRPr="00000000" w:rsidP="00000000" w14:paraId="00000033">
      <w:pPr>
        <w:spacing w:line="240" w:lineRule="auto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34">
      <w:pPr>
        <w:spacing w:after="240" w:line="240" w:lineRule="auto"/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35">
      <w:pPr>
        <w:spacing w:line="240" w:lineRule="auto"/>
        <w:jc w:val="center"/>
        <w:rPr>
          <w:b/>
          <w:sz w:val="26"/>
          <w:szCs w:val="26"/>
        </w:rPr>
      </w:pPr>
    </w:p>
    <w:p w:rsidR="00000000" w:rsidRPr="00000000" w:rsidP="00000000" w14:paraId="00000036">
      <w:pPr>
        <w:spacing w:line="240" w:lineRule="auto"/>
        <w:rPr>
          <w:b/>
          <w:sz w:val="26"/>
          <w:szCs w:val="26"/>
        </w:rPr>
      </w:pPr>
    </w:p>
    <w:p w:rsidR="00000000" w:rsidRPr="00000000" w:rsidP="00000000" w14:paraId="00000037">
      <w:pPr>
        <w:spacing w:line="240" w:lineRule="auto"/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38">
      <w:pPr>
        <w:spacing w:line="240" w:lineRule="auto"/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Presidente / Relator</w:t>
      </w:r>
    </w:p>
    <w:p w:rsidR="00000000" w:rsidRPr="00000000" w:rsidP="00000000" w14:paraId="00000039">
      <w:pPr>
        <w:spacing w:line="240" w:lineRule="auto"/>
        <w:jc w:val="center"/>
        <w:rPr>
          <w:sz w:val="26"/>
          <w:szCs w:val="26"/>
        </w:rPr>
      </w:pPr>
    </w:p>
    <w:p w:rsidR="00000000" w:rsidRPr="00000000" w:rsidP="00000000" w14:paraId="0000003A">
      <w:pPr>
        <w:spacing w:line="240" w:lineRule="auto"/>
        <w:jc w:val="center"/>
        <w:rPr>
          <w:sz w:val="26"/>
          <w:szCs w:val="26"/>
        </w:rPr>
      </w:pPr>
    </w:p>
    <w:p w:rsidR="00000000" w:rsidRPr="00000000" w:rsidP="00000000" w14:paraId="0000003B">
      <w:pPr>
        <w:spacing w:line="240" w:lineRule="auto"/>
        <w:jc w:val="center"/>
        <w:rPr>
          <w:sz w:val="26"/>
          <w:szCs w:val="26"/>
        </w:rPr>
      </w:pPr>
    </w:p>
    <w:p w:rsidR="00000000" w:rsidRPr="00000000" w:rsidP="00000000" w14:paraId="0000003C">
      <w:pPr>
        <w:spacing w:line="240" w:lineRule="auto"/>
        <w:jc w:val="center"/>
        <w:rPr>
          <w:sz w:val="26"/>
          <w:szCs w:val="26"/>
        </w:rPr>
      </w:pPr>
    </w:p>
    <w:p w:rsidR="00000000" w:rsidRPr="00000000" w:rsidP="00000000" w14:paraId="0000003D">
      <w:pPr>
        <w:spacing w:after="240" w:line="240" w:lineRule="auto"/>
        <w:rPr>
          <w:sz w:val="26"/>
          <w:szCs w:val="26"/>
        </w:rPr>
      </w:pPr>
    </w:p>
    <w:p w:rsidR="00000000" w:rsidRPr="00000000" w:rsidP="00000000" w14:paraId="0000003E">
      <w:pPr>
        <w:spacing w:line="240" w:lineRule="auto"/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3F">
      <w:pPr>
        <w:spacing w:line="240" w:lineRule="auto"/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40">
      <w:pPr>
        <w:spacing w:after="240" w:line="240" w:lineRule="auto"/>
        <w:rPr>
          <w:sz w:val="26"/>
          <w:szCs w:val="26"/>
        </w:rPr>
      </w:pPr>
    </w:p>
    <w:p w:rsidR="00000000" w:rsidRPr="00000000" w:rsidP="00000000" w14:paraId="00000041">
      <w:pPr>
        <w:spacing w:after="240" w:line="240" w:lineRule="auto"/>
        <w:rPr>
          <w:sz w:val="26"/>
          <w:szCs w:val="26"/>
        </w:rPr>
      </w:pPr>
    </w:p>
    <w:p w:rsidR="00000000" w:rsidRPr="00000000" w:rsidP="00000000" w14:paraId="00000042">
      <w:pPr>
        <w:spacing w:after="240" w:line="240" w:lineRule="auto"/>
        <w:rPr>
          <w:sz w:val="26"/>
          <w:szCs w:val="26"/>
        </w:rPr>
      </w:pPr>
    </w:p>
    <w:p w:rsidR="00000000" w:rsidRPr="00000000" w:rsidP="00000000" w14:paraId="00000043">
      <w:pPr>
        <w:spacing w:line="240" w:lineRule="auto"/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44">
      <w:pPr>
        <w:spacing w:line="240" w:lineRule="auto"/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Membro </w:t>
      </w:r>
    </w:p>
    <w:p w:rsidR="00000000" w:rsidRPr="00000000" w:rsidP="00000000" w14:paraId="00000045">
      <w:pPr>
        <w:spacing w:after="240" w:line="240" w:lineRule="auto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6">
      <w:pPr>
        <w:spacing w:after="240" w:line="240" w:lineRule="auto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7">
      <w:pPr>
        <w:spacing w:after="240" w:line="240" w:lineRule="auto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8">
      <w:pPr>
        <w:spacing w:after="240" w:line="240" w:lineRule="auto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9">
      <w:pPr>
        <w:spacing w:before="240" w:after="240"/>
        <w:jc w:val="center"/>
        <w:rPr>
          <w:b/>
          <w:sz w:val="26"/>
          <w:szCs w:val="26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 xml:space="preserve">COMISSÃO </w:t>
      </w:r>
      <w:r w:rsidRPr="00000000">
        <w:rPr>
          <w:b/>
          <w:sz w:val="26"/>
          <w:szCs w:val="26"/>
          <w:u w:val="single"/>
          <w:rtl w:val="0"/>
        </w:rPr>
        <w:t>DE EDUCAÇÃO, SAÚDE, CULTURA, ESPORTES E ASSISTÊNCIA SOCIAL</w:t>
      </w:r>
    </w:p>
    <w:p w:rsidR="00000000" w:rsidRPr="00000000" w:rsidP="00000000" w14:paraId="0000004A">
      <w:pPr>
        <w:spacing w:before="240" w:after="240"/>
        <w:rPr>
          <w:b/>
          <w:sz w:val="26"/>
          <w:szCs w:val="26"/>
          <w:u w:val="single"/>
        </w:rPr>
      </w:pPr>
    </w:p>
    <w:p w:rsidR="00000000" w:rsidRPr="00000000" w:rsidP="00000000" w14:paraId="0000004B">
      <w:pPr>
        <w:spacing w:before="240" w:after="240"/>
        <w:rPr>
          <w:b/>
          <w:sz w:val="26"/>
          <w:szCs w:val="26"/>
          <w:u w:val="single"/>
        </w:rPr>
      </w:pPr>
    </w:p>
    <w:p w:rsidR="00000000" w:rsidRPr="00000000" w:rsidP="00000000" w14:paraId="0000004C">
      <w:pPr>
        <w:spacing w:before="240" w:after="240"/>
        <w:rPr>
          <w:b/>
          <w:sz w:val="26"/>
          <w:szCs w:val="26"/>
          <w:u w:val="single"/>
        </w:rPr>
      </w:pPr>
    </w:p>
    <w:p w:rsidR="00000000" w:rsidRPr="00000000" w:rsidP="00000000" w14:paraId="0000004D">
      <w:pPr>
        <w:spacing w:before="240" w:after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JOELMA FRANCO DA CUNHA</w:t>
      </w:r>
    </w:p>
    <w:p w:rsidR="00000000" w:rsidRPr="00000000" w:rsidP="00000000" w14:paraId="0000004E">
      <w:pPr>
        <w:spacing w:before="240" w:after="240"/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Presidente</w:t>
      </w:r>
    </w:p>
    <w:p w:rsidR="00000000" w:rsidRPr="00000000" w:rsidP="00000000" w14:paraId="0000004F">
      <w:pPr>
        <w:spacing w:before="240" w:after="240"/>
        <w:rPr>
          <w:sz w:val="26"/>
          <w:szCs w:val="26"/>
        </w:rPr>
      </w:pPr>
    </w:p>
    <w:p w:rsidR="00000000" w:rsidRPr="00000000" w:rsidP="00000000" w14:paraId="00000050">
      <w:pPr>
        <w:spacing w:before="240" w:after="240"/>
        <w:rPr>
          <w:sz w:val="26"/>
          <w:szCs w:val="26"/>
        </w:rPr>
      </w:pPr>
    </w:p>
    <w:p w:rsidR="00000000" w:rsidRPr="00000000" w:rsidP="00000000" w14:paraId="00000051">
      <w:pPr>
        <w:spacing w:before="240"/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52">
      <w:pPr>
        <w:spacing w:before="240" w:after="240"/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Vice-presidente</w:t>
      </w:r>
    </w:p>
    <w:p w:rsidR="00000000" w:rsidRPr="00000000" w:rsidP="00000000" w14:paraId="00000053">
      <w:pPr>
        <w:spacing w:before="240" w:after="240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</w:t>
      </w:r>
    </w:p>
    <w:p w:rsidR="00000000" w:rsidRPr="00000000" w:rsidP="00000000" w14:paraId="00000054">
      <w:pPr>
        <w:spacing w:before="240" w:after="240"/>
        <w:rPr>
          <w:sz w:val="26"/>
          <w:szCs w:val="26"/>
        </w:rPr>
      </w:pPr>
    </w:p>
    <w:p w:rsidR="00000000" w:rsidRPr="00000000" w:rsidP="00000000" w14:paraId="00000055">
      <w:pPr>
        <w:spacing w:before="240" w:after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MARCIO EVANDRO RIBEIRO</w:t>
      </w:r>
    </w:p>
    <w:p w:rsidR="00000000" w:rsidRPr="00000000" w:rsidP="00000000" w14:paraId="00000056">
      <w:pPr>
        <w:spacing w:before="240" w:after="240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sz w:val="26"/>
          <w:szCs w:val="26"/>
          <w:rtl w:val="0"/>
        </w:rPr>
        <w:t>Membro</w:t>
      </w:r>
    </w:p>
    <w:p w:rsidR="00000000" w:rsidRPr="00000000" w:rsidP="00000000" w14:paraId="00000057">
      <w:pPr>
        <w:spacing w:after="240"/>
        <w:jc w:val="center"/>
        <w:rPr>
          <w:sz w:val="26"/>
          <w:szCs w:val="26"/>
          <w:highlight w:val="white"/>
        </w:rPr>
      </w:pPr>
    </w:p>
    <w:sectPr>
      <w:headerReference w:type="even" r:id="rId4"/>
      <w:headerReference w:type="default" r:id="rId5"/>
      <w:footerReference w:type="default" r:id="rId6"/>
      <w:pgSz w:w="11907" w:h="16840" w:orient="portrait"/>
      <w:pgMar w:top="2268" w:right="1321" w:bottom="831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5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120277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5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