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</w:rPr>
        <w:t xml:space="preserve"> </w:t>
      </w:r>
      <w:r>
        <w:rPr>
          <w:rFonts w:cs="Arial" w:ascii="Calibri" w:hAnsi="Calibri"/>
          <w:b/>
          <w:bCs/>
          <w:color w:val="000000"/>
          <w:sz w:val="26"/>
          <w:szCs w:val="26"/>
        </w:rPr>
        <w:t>RELATÓRIO</w:t>
      </w:r>
    </w:p>
    <w:p>
      <w:pPr>
        <w:pStyle w:val="Normal"/>
        <w:spacing w:lineRule="auto" w:line="240" w:before="0" w:after="0"/>
        <w:contextualSpacing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  <w:bookmarkStart w:id="0" w:name="docs-internal-guid-6dc14b50-7fff-3068-6d"/>
      <w:bookmarkEnd w:id="0"/>
      <w:r>
        <w:rPr>
          <w:rFonts w:cs="Arial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Projeto de Lei n.º 116/2022</w:t>
      </w:r>
    </w:p>
    <w:p>
      <w:pPr>
        <w:pStyle w:val="Corpodotexto"/>
        <w:bidi w:val="0"/>
        <w:spacing w:lineRule="auto" w:line="240" w:before="0" w:after="0"/>
        <w:contextualSpacing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Processo nº 174/2022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Conforme determina o artigo 35 e 39 da Resolução 276 de 09 de novembro de 2010 – Regimento Interno da Câmara Municipal, a Comissão Permanente de Justiça e Redação conjuntamente com a Comissão Permanente de Educação, Saúde, Cultura, Esporte e Assistência Social emitem o presente Relatório acerca do Projeto de Lei nº 116/2022, de autoria do Exmo. Sr. Prefeito Municipal, sob relatoria da Vereadora Mara Cristina Choquetta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I. Exposição da Matéria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O Excelentíssimo Senhor Prefeito Dr. Paulo de Oliveira e Silva encaminha a esta Casa de Leis o Projeto de Lei nº 116/2.022, que 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“</w:t>
      </w:r>
      <w:r>
        <w:rPr>
          <w:rFonts w:ascii="Calibri" w:hAnsi="Calibri"/>
          <w:b/>
          <w:b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INSTITUI O PROGRAMA MUNICIPAL DE ARTESANATO DE MOGI MIRIM; A FEIRA DE ARTES E ARTESANATO E A COMISSÃO DAS FEIRAS DE ARTES E ARTESANATO DE MOGI MIRIM, E DÁ OUTRAS PROVIDÊNCIAS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.”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 xml:space="preserve">A propositura visa Instituir um Programa Municipal de Artesanato no município, alterar as disposições da Lei Municipal nº 3.397/2000 que dispões sobre a Feira do Artesanato 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II. Do mérito e conclusões do relator</w:t>
      </w:r>
      <w:r>
        <w:rPr>
          <w:rFonts w:ascii="Calibri" w:hAnsi="Calibri"/>
          <w:b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 </w:t>
      </w:r>
    </w:p>
    <w:p>
      <w:pPr>
        <w:pStyle w:val="Corpodotexto"/>
        <w:bidi w:val="0"/>
        <w:spacing w:lineRule="auto" w:line="240" w:before="240" w:after="24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Inicialmente verifica-se que o projeto se encontra em conformidade com artigo 30, inciso I da Constituição Federal, uma vez que se trata de assunto de interesse local:</w:t>
      </w:r>
    </w:p>
    <w:p>
      <w:pPr>
        <w:pStyle w:val="Corpodotexto"/>
        <w:shd w:val="clear" w:fill="FFFFFF"/>
        <w:bidi w:val="0"/>
        <w:spacing w:lineRule="auto" w:line="240" w:before="200" w:after="0"/>
        <w:ind w:left="2880" w:right="0" w:firstLine="580"/>
        <w:jc w:val="both"/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“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Art. 30. Compete aos Municípios:</w:t>
      </w:r>
    </w:p>
    <w:p>
      <w:pPr>
        <w:pStyle w:val="Corpodotexto"/>
        <w:shd w:val="clear" w:fill="FFFFFF"/>
        <w:bidi w:val="0"/>
        <w:spacing w:lineRule="auto" w:line="240" w:before="0" w:after="200"/>
        <w:ind w:left="2880" w:right="0" w:firstLine="580"/>
        <w:jc w:val="both"/>
        <w:rPr>
          <w:rFonts w:ascii="Calibri" w:hAnsi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I - legislar sobre assuntos de interesse local;”</w:t>
      </w:r>
      <w:r>
        <w:rPr>
          <w:rFonts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 </w:t>
      </w:r>
    </w:p>
    <w:p>
      <w:pPr>
        <w:pStyle w:val="Corpodotexto"/>
        <w:shd w:val="clear" w:fill="FFFFFF"/>
        <w:bidi w:val="0"/>
        <w:spacing w:lineRule="auto" w:line="240" w:before="200" w:after="0"/>
        <w:ind w:left="0" w:right="0" w:firstLine="58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 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Do mesmo modo, a disposição da Propositura se enquadra no art. 12, inciso I, II e XXVIII da Lei Orgânica do Município de Mogi Mirim, que delimita os assuntos de competência privativa do município.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hanging="0"/>
        <w:jc w:val="both"/>
        <w:rPr/>
      </w:pPr>
      <w:r>
        <w:rPr>
          <w:rFonts w:ascii="Calibri" w:hAnsi="Calibri"/>
          <w:i/>
          <w:iCs/>
          <w:sz w:val="26"/>
          <w:szCs w:val="26"/>
        </w:rPr>
        <w:t>“</w:t>
      </w:r>
      <w:r>
        <w:rPr>
          <w:rFonts w:ascii="Calibri" w:hAnsi="Calibri"/>
          <w:i/>
          <w:iCs/>
          <w:sz w:val="24"/>
          <w:szCs w:val="24"/>
        </w:rPr>
        <w:t>Art. 12. Ao Município compete prover tudo quanto diga respeito ao seu peculiar interesse e ao bem-estar de sua população, cabendo-lhe,privativamente, dentre outras, as seguintes atribuições: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firstLine="58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I – legislar sobre assuntos de interesse local, na área urbana e rural;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firstLine="580"/>
        <w:jc w:val="both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II – suplementar a legislação Federal e a Estadual, no que couber;   [...]</w:t>
      </w:r>
    </w:p>
    <w:p>
      <w:pPr>
        <w:pStyle w:val="Corpodotexto"/>
        <w:shd w:val="clear" w:fill="FFFFFF"/>
        <w:bidi w:val="0"/>
        <w:spacing w:lineRule="auto" w:line="240" w:before="200" w:after="0"/>
        <w:ind w:left="3540" w:right="0" w:firstLine="580"/>
        <w:jc w:val="both"/>
        <w:rPr>
          <w:rFonts w:ascii="Calibri" w:hAnsi="Calibri"/>
          <w:i/>
          <w:i/>
          <w:iCs/>
          <w:sz w:val="24"/>
          <w:szCs w:val="24"/>
          <w:u w:val="single"/>
        </w:rPr>
      </w:pPr>
      <w:r>
        <w:rPr>
          <w:rFonts w:ascii="Calibri" w:hAnsi="Calibri"/>
          <w:i/>
          <w:iCs/>
          <w:sz w:val="24"/>
          <w:szCs w:val="24"/>
          <w:u w:val="single"/>
        </w:rPr>
        <w:t xml:space="preserve">XXVIII – auxiliar, pelos meios ao seu alcance, as organizações beneficentes, culturais e amadoristas, nos termos da lei;” </w:t>
      </w:r>
      <w:r>
        <w:rPr>
          <w:rFonts w:ascii="Calibri" w:hAnsi="Calibri"/>
          <w:i/>
          <w:iCs/>
          <w:sz w:val="24"/>
          <w:szCs w:val="24"/>
          <w:u w:val="none"/>
        </w:rPr>
        <w:t>(grifo nosso)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Atualmente o município possui em vigor a Lei Municipal nº 3.397/00 que </w:t>
      </w:r>
      <w:r>
        <w:rPr>
          <w:rFonts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“Dispõe sobre o funcionamento da Feira do artesanato e dá outras providências” 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que foi promulgada em 18 de outubro de 2000. Entretanto, no decorrer de mais de 20 anos, ocorrer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am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inúmeras mudanças na legislação competente, além das próprias mudanças do setor e da economia. 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Em 22 de outubro de 2015 foi sancionada a Lei Federa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l</w:t>
      </w: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 nº 13.180, que dispõe sobre a profissão de Artesão. Na mesma toada, em junho de 2018 foi emitida a Portaria nº 1.007/18 que instituiu o Programa do Artesanato Brasileiro e sobre a base conceitual do artesanato brasileiro. (vide folha 17)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Diante destas alterações, se fez necessário alterar a legislação no âmbito municipal, aproveitando a oportunidade da melhorar as condições do setor, e em especial sobre as especificações da Feira do Artesanato e sua regulamentação pela Comissão a ser criada.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Vale destacar que a propositura foi objeto de audiência pública, que contou com inúmeros membros que exercem a atividade, que corroboraram a importância das alterações propostas, afirmando ainda que muitos deles participaram da elaboração da minuta do projeto, estando de acordo com a propositura.</w:t>
      </w:r>
    </w:p>
    <w:p>
      <w:pPr>
        <w:pStyle w:val="Corpodotexto"/>
        <w:bidi w:val="0"/>
        <w:spacing w:lineRule="auto" w:line="240" w:before="240" w:after="240"/>
        <w:ind w:left="0" w:right="0" w:firstLine="72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Diante de todo exposto, considerando a legalidade do Projeto e o relevante interesse para a cultura e economia do município, não se verifica óbices para continuidade da proposta.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III. Substitutivos, Emendas ou subemendas ao Projeto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Esta relatoria não possui emendas a propor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IV. Decisão da Relatora</w:t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ab/>
        <w:t>P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ortanto, esta Relatoria considera que a presente propositura não apresenta vícios de constitucionalidade, recebendo 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FFFFFF" w:val="clear"/>
        </w:rPr>
        <w:t>Sala das Comissões, em 13 de outubro de 2022.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z w:val="26"/>
          <w:szCs w:val="26"/>
          <w:u w:val="single"/>
          <w:shd w:fill="auto" w:val="clear"/>
        </w:rPr>
        <w:t>COMISSÃO DE JUSTIÇA E REDAÇÃO</w:t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spacing w:lineRule="auto" w:line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>Vereadora Mara Cristina Choquetta</w:t>
      </w:r>
    </w:p>
    <w:p>
      <w:pPr>
        <w:pStyle w:val="Corpodotexto"/>
        <w:spacing w:lineRule="auto" w:line="240"/>
        <w:jc w:val="center"/>
        <w:rPr>
          <w:rFonts w:ascii="Calibri" w:hAnsi="Calibri"/>
          <w:sz w:val="26"/>
          <w:szCs w:val="26"/>
        </w:rPr>
      </w:pPr>
      <w:bookmarkStart w:id="1" w:name="docs-internal-guid-4f89cce7-7fff-8e94-16"/>
      <w:bookmarkEnd w:id="1"/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szCs w:val="26"/>
          <w:u w:val="none"/>
          <w:effect w:val="none"/>
          <w:shd w:fill="auto" w:val="clear"/>
        </w:rPr>
        <w:t xml:space="preserve">PARECER CONJUNTO N.º        /2022 DA COMISSÃO DE JUSTIÇA E REDAÇÃO E DE EDUCAÇÃO, SAÚDE, CULTURA, ESPORTE E ASSISTÊNCIA SOCIAL </w:t>
      </w:r>
    </w:p>
    <w:p>
      <w:pPr>
        <w:pStyle w:val="Corpodotexto"/>
        <w:spacing w:lineRule="auto" w:line="24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Corpodotexto"/>
        <w:bidi w:val="0"/>
        <w:spacing w:lineRule="auto" w:line="240" w:before="240" w:after="0"/>
        <w:jc w:val="both"/>
        <w:rPr>
          <w:rFonts w:ascii="Calibri" w:hAnsi="Calibri"/>
          <w:b w:val="false"/>
          <w:b w:val="false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 xml:space="preserve">Seguindo o Voto exarado pela Relatora e conforme determinam os artigos 35 e 39 da Resolução n.º 276 de 09 de novembro de 2.010, a Comissão de Justiça e Redação conjuntamente com a Comissão de Educação, Saúde, Cultura, Esporte e Assistência Social, formalizam o presente </w:t>
      </w: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PARECER FAVORÁVEL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auto" w:val="clear"/>
        </w:rPr>
        <w:t>.</w:t>
      </w:r>
    </w:p>
    <w:p>
      <w:pPr>
        <w:pStyle w:val="Corpodotexto"/>
        <w:bidi w:val="0"/>
        <w:spacing w:lineRule="auto" w:line="240" w:before="240" w:after="0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</w:pP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z w:val="26"/>
          <w:u w:val="none"/>
          <w:effect w:val="none"/>
          <w:shd w:fill="FFFFFF" w:val="clear"/>
        </w:rPr>
        <w:t>Sala das Comissões, em 13 de outubro de 2022.</w:t>
      </w:r>
    </w:p>
    <w:p>
      <w:pPr>
        <w:pStyle w:val="Corpodotexto"/>
        <w:spacing w:lineRule="auto" w:line="240"/>
        <w:rPr/>
      </w:pPr>
      <w:r>
        <w:rPr/>
        <w:br/>
      </w:r>
    </w:p>
    <w:p>
      <w:pPr>
        <w:pStyle w:val="Normal"/>
        <w:spacing w:lineRule="auto" w:line="240"/>
        <w:jc w:val="center"/>
        <w:rPr>
          <w:rFonts w:cs="Arial"/>
          <w:b/>
          <w:b/>
          <w:bCs/>
          <w:color w:val="000000"/>
          <w:u w:val="single"/>
          <w:shd w:fill="FFFFFF" w:val="clear"/>
        </w:rPr>
      </w:pPr>
      <w:r>
        <w:rPr>
          <w:rFonts w:cs="Arial"/>
          <w:b/>
          <w:bCs/>
          <w:color w:val="000000"/>
          <w:u w:val="single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u w:val="single"/>
          <w:shd w:fill="FFFFFF" w:val="clear"/>
        </w:rPr>
        <w:t>COMISSÃO DE JUSTIÇA E REDAÇÃO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cs="Arial"/>
          <w:b/>
          <w:b/>
          <w:bCs/>
          <w:color w:val="000000"/>
          <w:shd w:fill="FFFFFF" w:val="clear"/>
        </w:rPr>
      </w:pPr>
      <w:r>
        <w:rPr>
          <w:rFonts w:cs="Arial"/>
          <w:b/>
          <w:bCs/>
          <w:color w:val="000000"/>
          <w:shd w:fill="FFFFFF" w:val="clear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 JOÃO VICTOR GASPARINI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 xml:space="preserve">Presidente 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MARA CRISTINA CHOQUETTA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Vice – presidente/relatora</w:t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2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br/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b/>
          <w:bCs/>
          <w:color w:val="000000"/>
          <w:sz w:val="26"/>
          <w:szCs w:val="26"/>
          <w:shd w:fill="FFFFFF" w:val="clear"/>
        </w:rPr>
        <w:t>VEREADORA  DRA. LÚCIA MARIA FERREIRA TENÓRIO</w:t>
      </w:r>
    </w:p>
    <w:p>
      <w:pPr>
        <w:pStyle w:val="Normal"/>
        <w:spacing w:lineRule="auto" w:line="240"/>
        <w:jc w:val="center"/>
        <w:rPr>
          <w:rFonts w:ascii="Calibri" w:hAnsi="Calibri"/>
          <w:sz w:val="26"/>
          <w:szCs w:val="26"/>
        </w:rPr>
      </w:pPr>
      <w:r>
        <w:rPr>
          <w:rFonts w:cs="Arial" w:ascii="Calibri" w:hAnsi="Calibri"/>
          <w:color w:val="000000"/>
          <w:sz w:val="26"/>
          <w:szCs w:val="26"/>
          <w:shd w:fill="FFFFFF" w:val="clear"/>
        </w:rPr>
        <w:t>Membro </w:t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240" w:after="24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eastAsia="Calibri" w:cs="Calibri" w:ascii="Calibri" w:hAnsi="Calibri"/>
          <w:b/>
          <w:sz w:val="24"/>
          <w:szCs w:val="24"/>
          <w:u w:val="single"/>
          <w:shd w:fill="FFFFFF" w:val="clear"/>
        </w:rPr>
        <w:t xml:space="preserve">COMISSÃO </w:t>
      </w:r>
      <w:r>
        <w:rPr>
          <w:rFonts w:eastAsia="Calibri" w:cs="Calibri" w:ascii="Calibri" w:hAnsi="Calibri"/>
          <w:b/>
          <w:sz w:val="24"/>
          <w:szCs w:val="24"/>
          <w:u w:val="single"/>
        </w:rPr>
        <w:t>DE EDUCAÇÃO, SAÚDE, CULTURA, ESPORTES E ASSISTÊNCIA SOCIAL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VEREADORA JOELMA FRANCO DA CUNHA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Presidente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  <w:shd w:fill="FFFFFF" w:val="clear"/>
        </w:rPr>
      </w:pPr>
      <w:r>
        <w:rPr>
          <w:rFonts w:eastAsia="Calibri" w:cs="Calibri" w:ascii="Calibri" w:hAnsi="Calibri"/>
          <w:b/>
          <w:sz w:val="24"/>
          <w:szCs w:val="24"/>
          <w:shd w:fill="FFFFFF" w:val="clear"/>
        </w:rPr>
        <w:t>VEREADORA DRA. LÚCIA MARIA FERREIRA TENÓRIO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Vice-presidente</w:t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rPr>
          <w:rFonts w:ascii="Calibri" w:hAnsi="Calibri" w:eastAsia="Calibri" w:cs="Calibri"/>
          <w:b/>
          <w:b/>
          <w:sz w:val="24"/>
          <w:szCs w:val="24"/>
          <w:u w:val="single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VEREADOR MÁRCIO EVANDRO RIBEIRO</w:t>
      </w:r>
    </w:p>
    <w:p>
      <w:pPr>
        <w:pStyle w:val="Normal"/>
        <w:spacing w:lineRule="auto" w:line="240" w:before="0" w:after="0"/>
        <w:contextualSpacing/>
        <w:jc w:val="center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FFFFFF" w:val="clear"/>
        </w:rPr>
        <w:t>Membro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Bookman Old Style" w:hAnsi="Bookman Old Style"/>
        <w:b/>
        <w:b/>
        <w:sz w:val="18"/>
      </w:rPr>
    </w:pPr>
    <w:r>
      <w:rPr>
        <w:rFonts w:ascii="Bookman Old Style" w:hAnsi="Bookman Old Style"/>
        <w:b/>
        <w:sz w:val="18"/>
      </w:rPr>
      <w:fldChar w:fldCharType="begin"/>
    </w:r>
    <w:r>
      <w:rPr>
        <w:sz w:val="18"/>
        <w:b/>
        <w:rFonts w:ascii="Bookman Old Style" w:hAnsi="Bookman Old Style"/>
      </w:rPr>
      <w:instrText xml:space="preserve"> PAGE </w:instrText>
    </w:r>
    <w:r>
      <w:rPr>
        <w:sz w:val="18"/>
        <w:b/>
        <w:rFonts w:ascii="Bookman Old Style" w:hAnsi="Bookman Old Style"/>
      </w:rPr>
      <w:fldChar w:fldCharType="separate"/>
    </w:r>
    <w:r>
      <w:rPr>
        <w:sz w:val="18"/>
        <w:b/>
        <w:rFonts w:ascii="Bookman Old Style" w:hAnsi="Bookman Old Style"/>
      </w:rPr>
      <w:t>4</w:t>
    </w:r>
    <w:r>
      <w:rPr>
        <w:sz w:val="18"/>
        <w:b/>
        <w:rFonts w:ascii="Bookman Old Style" w:hAnsi="Bookman Old Style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 wp14:anchorId="3A17B76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 wp14:anchorId="3A17B76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34"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4" wp14:anchorId="3A17B76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path="m0,0l-2147483645,0l-2147483645,-2147483646l0,-2147483646xe" stroked="f" o:allowincell="f" style="position:absolute;margin-left:457.1pt;margin-top:0.05pt;width:1.1pt;height:11.4pt;mso-wrap-style:none;v-text-anchor:middle;mso-position-horizontal:right;mso-position-horizontal-relative:margin" wp14:anchorId="3A17B76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Bookman Old Style" w:hAnsi="Bookman Old Style"/>
        <w:b/>
        <w:b/>
        <w:sz w:val="24"/>
      </w:rPr>
    </w:pPr>
    <w:r>
      <w:rPr>
        <w:rFonts w:ascii="Bookman Old Style" w:hAnsi="Bookman Old Style"/>
        <w:b/>
        <w:sz w:val="24"/>
      </w:rPr>
    </w:r>
  </w:p>
  <w:p>
    <w:pPr>
      <w:pStyle w:val="Cabealho"/>
      <w:tabs>
        <w:tab w:val="clear" w:pos="4419"/>
        <w:tab w:val="clear" w:pos="8838"/>
        <w:tab w:val="right" w:pos="7513" w:leader="none"/>
      </w:tabs>
      <w:rPr>
        <w:rFonts w:ascii="Bookman Old Style" w:hAnsi="Bookman Old Style"/>
      </w:rPr>
    </w:pPr>
    <w:r>
      <w:rPr>
        <w:rFonts w:ascii="Bookman Old Style" w:hAnsi="Bookman Old Style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7b031c"/>
    <w:rPr/>
  </w:style>
  <w:style w:type="character" w:styleId="LinkdaInternet" w:customStyle="1">
    <w:name w:val="Link da Internet"/>
    <w:basedOn w:val="DefaultParagraphFont"/>
    <w:rsid w:val="00223e3b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223e3b"/>
    <w:rPr>
      <w:color w:val="605E5C"/>
      <w:shd w:fill="E1DFDD" w:val="clear"/>
    </w:rPr>
  </w:style>
  <w:style w:type="character" w:styleId="Appletabspan" w:customStyle="1">
    <w:name w:val="apple-tab-span"/>
    <w:basedOn w:val="DefaultParagraphFont"/>
    <w:qFormat/>
    <w:rsid w:val="005101cc"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dd6d26"/>
    <w:pPr/>
    <w:rPr>
      <w:rFonts w:ascii="Segoe UI" w:hAnsi="Segoe UI" w:cs="Segoe UI"/>
      <w:sz w:val="18"/>
      <w:szCs w:val="18"/>
    </w:rPr>
  </w:style>
  <w:style w:type="paragraph" w:styleId="Corpodetexto31" w:customStyle="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styleId="Textoembloco1" w:customStyle="1">
    <w:name w:val="Texto em bloco1"/>
    <w:basedOn w:val="Normal"/>
    <w:qFormat/>
    <w:rsid w:val="00ed0d92"/>
    <w:pPr>
      <w:ind w:left="-709" w:right="-943" w:hanging="0"/>
      <w:jc w:val="both"/>
    </w:pPr>
    <w:rPr>
      <w:sz w:val="22"/>
      <w:lang w:eastAsia="ar-SA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df57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9DB31-E583-4DB5-8F1E-BF8E10DAE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16342</TotalTime>
  <Application>LibreOffice/7.3.1.3$Windows_X86_64 LibreOffice_project/a69ca51ded25f3eefd52d7bf9a5fad8c90b87951</Application>
  <AppVersion>15.0000</AppVersion>
  <Pages>4</Pages>
  <Words>724</Words>
  <Characters>3908</Characters>
  <CharactersWithSpaces>4617</CharactersWithSpaces>
  <Paragraphs>54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2022-02-17T15:51:00Z</dcterms:created>
  <dc:creator>Secretaria</dc:creator>
  <dc:description/>
  <dc:language>pt-BR</dc:language>
  <cp:lastModifiedBy/>
  <cp:lastPrinted>2022-10-13T10:32:24Z</cp:lastPrinted>
  <dcterms:modified xsi:type="dcterms:W3CDTF">2022-10-13T10:43:30Z</dcterms:modified>
  <cp:revision>132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