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RELATÓRIO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Projeto de Lei n.º </w:t>
      </w:r>
      <w:r w:rsidDel="00000000" w:rsidR="00000000" w:rsidRPr="00000000">
        <w:rPr>
          <w:b w:val="1"/>
          <w:sz w:val="26"/>
          <w:szCs w:val="26"/>
          <w:rtl w:val="0"/>
        </w:rPr>
        <w:t xml:space="preserve">154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sz w:val="26"/>
          <w:szCs w:val="26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Processo nº </w:t>
      </w:r>
      <w:r w:rsidDel="00000000" w:rsidR="00000000" w:rsidRPr="00000000">
        <w:rPr>
          <w:b w:val="1"/>
          <w:sz w:val="26"/>
          <w:szCs w:val="26"/>
          <w:rtl w:val="0"/>
        </w:rPr>
        <w:t xml:space="preserve">216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sz w:val="26"/>
          <w:szCs w:val="26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Autora: Vereadora Sonia Regina Rodrigues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I. Exposição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 autoria da Nobre Vereadora Sonia Regina Rodrigues, o projeto de lei em epígrafe</w:t>
      </w:r>
      <w:r w:rsidDel="00000000" w:rsidR="00000000" w:rsidRPr="00000000">
        <w:rPr>
          <w:b w:val="1"/>
          <w:sz w:val="26"/>
          <w:szCs w:val="26"/>
          <w:rtl w:val="0"/>
        </w:rPr>
        <w:t xml:space="preserve"> “Dispõe sobre o Censo Animal no âmbito do Município de Mogi Mirim, visando o controle populacional de animais domésticos, e dá outras providencias".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 projeto de lei em epígrafe visa instituir no Município de Mogi Mirim o programa Censo Municipal do Animal Doméstico com a finalidade de estabelecer dados estatísticos de animais domésticos com intuito de localizar, cadastrar, e orientar os proprietários desses animais sobre os cuidados e controle de zoonoses, em seu território urbano e rural.</w:t>
      </w:r>
    </w:p>
    <w:p w:rsidR="00000000" w:rsidDel="00000000" w:rsidP="00000000" w:rsidRDefault="00000000" w:rsidRPr="00000000" w14:paraId="0000000C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Censos são mecanismos de pesquisa, com modelo estatístico mais prático a ser entendido pela administração, objetivando o desenvolvimento de políticas públicas. 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II. Do mérito e conclusões do relator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Inicialmente cumpre destacar que a Comissão de Justiça e Redação requereu parecer da SGP - Soluções em Gestão Pública - para avaliação do presente Projeto de Lei, através da CONSULTA/0583/2021/MN/G de 23 de novembro de 2021, com parecer pela constitucionalidade da matéria.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Trata-se de um assunto de competência legislativa do Município, conforme determina o artigo 30, inciso I da Constituição Federal, legislar sobre assuntos de interesse local</w:t>
      </w:r>
      <w:r w:rsidDel="00000000" w:rsidR="00000000" w:rsidRPr="00000000">
        <w:rPr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00" w:before="200" w:line="276" w:lineRule="auto"/>
        <w:ind w:left="2880" w:firstLine="58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“Art. 30. Compete aos Municípios:</w:t>
      </w:r>
    </w:p>
    <w:p w:rsidR="00000000" w:rsidDel="00000000" w:rsidP="00000000" w:rsidRDefault="00000000" w:rsidRPr="00000000" w14:paraId="00000014">
      <w:pPr>
        <w:shd w:fill="ffffff" w:val="clear"/>
        <w:spacing w:after="200" w:before="200" w:line="276" w:lineRule="auto"/>
        <w:ind w:left="2880" w:firstLine="580"/>
        <w:jc w:val="both"/>
        <w:rPr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 - legislar sobre assuntos de interesse local;”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200" w:before="200" w:line="276" w:lineRule="auto"/>
        <w:ind w:left="0"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propositura dispõe sobre a proteção ao bem-estar animal, tema do artigo 225 da Constituição Federal, que impõe ao Poder Público e à coletividade o dever de proteger e preservar o meio ambiente. No inciso VII do parágrafo 1° do referido artigo 225, a Constituição Federal é clara neste sentido:</w:t>
      </w:r>
    </w:p>
    <w:p w:rsidR="00000000" w:rsidDel="00000000" w:rsidP="00000000" w:rsidRDefault="00000000" w:rsidRPr="00000000" w14:paraId="00000016">
      <w:pPr>
        <w:shd w:fill="ffffff" w:val="clear"/>
        <w:spacing w:after="200" w:before="200" w:line="276" w:lineRule="auto"/>
        <w:ind w:left="3600" w:firstLine="72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(...)</w:t>
      </w:r>
    </w:p>
    <w:p w:rsidR="00000000" w:rsidDel="00000000" w:rsidP="00000000" w:rsidRDefault="00000000" w:rsidRPr="00000000" w14:paraId="00000017">
      <w:pPr>
        <w:shd w:fill="ffffff" w:val="clear"/>
        <w:spacing w:after="240" w:before="240" w:line="276" w:lineRule="auto"/>
        <w:ind w:left="3600" w:firstLine="58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“Art. 225. Todos têm direito ao meio ambiente ecologicamente equilibrado, bem de uso comum do povo e essencial à sadia qualidade de vida, impondo-se ao Poder Público e à coletividade o dever de defendê-lo e preservá- lo para as presentes e futuras gerações.</w:t>
      </w:r>
    </w:p>
    <w:p w:rsidR="00000000" w:rsidDel="00000000" w:rsidP="00000000" w:rsidRDefault="00000000" w:rsidRPr="00000000" w14:paraId="00000018">
      <w:pPr>
        <w:shd w:fill="ffffff" w:val="clear"/>
        <w:spacing w:after="240" w:before="240" w:line="276" w:lineRule="auto"/>
        <w:ind w:left="3600" w:firstLine="58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§ 1º Para assegurar a efetividade desse direito, incumbe ao Poder Público:</w:t>
      </w:r>
    </w:p>
    <w:p w:rsidR="00000000" w:rsidDel="00000000" w:rsidP="00000000" w:rsidRDefault="00000000" w:rsidRPr="00000000" w14:paraId="00000019">
      <w:pPr>
        <w:shd w:fill="ffffff" w:val="clear"/>
        <w:spacing w:after="240" w:before="240" w:line="276" w:lineRule="auto"/>
        <w:ind w:left="3600" w:firstLine="58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(...)</w:t>
      </w:r>
    </w:p>
    <w:p w:rsidR="00000000" w:rsidDel="00000000" w:rsidP="00000000" w:rsidRDefault="00000000" w:rsidRPr="00000000" w14:paraId="0000001A">
      <w:pPr>
        <w:shd w:fill="ffffff" w:val="clear"/>
        <w:spacing w:after="200" w:before="200" w:line="276" w:lineRule="auto"/>
        <w:ind w:left="3600" w:firstLine="720"/>
        <w:jc w:val="both"/>
        <w:rPr>
          <w:i w:val="1"/>
          <w:sz w:val="26"/>
          <w:szCs w:val="26"/>
          <w:highlight w:val="white"/>
        </w:rPr>
      </w:pPr>
      <w:r w:rsidDel="00000000" w:rsidR="00000000" w:rsidRPr="00000000">
        <w:rPr>
          <w:i w:val="1"/>
          <w:sz w:val="26"/>
          <w:szCs w:val="26"/>
          <w:highlight w:val="white"/>
          <w:rtl w:val="0"/>
        </w:rPr>
        <w:t xml:space="preserve">VII - proteger a fauna e a flora, vedadas, na forma da lei, as práticas que coloquem em risco sua função ecológica, provoquem a extinção de espécies ou submetam os animais a crueldade.”</w:t>
      </w:r>
    </w:p>
    <w:p w:rsidR="00000000" w:rsidDel="00000000" w:rsidP="00000000" w:rsidRDefault="00000000" w:rsidRPr="00000000" w14:paraId="0000001B">
      <w:pPr>
        <w:shd w:fill="ffffff" w:val="clear"/>
        <w:spacing w:after="200" w:before="200" w:line="276" w:lineRule="auto"/>
        <w:ind w:left="0" w:firstLine="0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ab/>
        <w:t xml:space="preserve">Sendo assim, a propositura em análise visa o levantamento de informações sobre animais domésticos no município para que possam ser elaboradas políticas públicas voltadas para a proteção animal de forma mais eficiente.</w:t>
      </w:r>
    </w:p>
    <w:p w:rsidR="00000000" w:rsidDel="00000000" w:rsidP="00000000" w:rsidRDefault="00000000" w:rsidRPr="00000000" w14:paraId="0000001C">
      <w:pPr>
        <w:shd w:fill="ffffff" w:val="clear"/>
        <w:spacing w:after="200" w:before="200" w:line="276" w:lineRule="auto"/>
        <w:ind w:left="0"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 mesma forma, o Projeto de Lei n° 154 de 2021 guarda conformidade com a legislação vigente no Estado de São Paulo. Trata-se da Lei nº 12.916 de 2008, que estabelece que o incentivo a viabilização e o desenvolvimento de programas que visem o controle reprodutivo de cães e gatos e à promoção de medidas protetivas por meio de identificação, registro e outras formas de proteção ao bem estar animal.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Dessa forma, q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uanto ao aspecto constitucional, legal e regimental, denota-se que o presente projeto não apresenta conflitos junto ao ordenamento jurídico vigente, não havendo vícios de inconstitucionalidade</w:t>
      </w:r>
      <w:r w:rsidDel="00000000" w:rsidR="00000000" w:rsidRPr="00000000">
        <w:rPr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Destaca-se que já tramitou nesta Casa de Leis, recebendo aprovação pela unanimidade dos vereadores, o Projeto de Lei n° 67 de 2021, hoje Lei Municipal n° 6.343 de 2021, que “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dispõe sobre </w:t>
      </w:r>
      <w:r w:rsidDel="00000000" w:rsidR="00000000" w:rsidRPr="00000000">
        <w:rPr>
          <w:b w:val="1"/>
          <w:i w:val="1"/>
          <w:sz w:val="26"/>
          <w:szCs w:val="26"/>
          <w:highlight w:val="white"/>
          <w:rtl w:val="0"/>
        </w:rPr>
        <w:t xml:space="preserve">a criação do Programa Municipal Censo de Inclusão das Pessoas com Transtorno Espectro Autista (TEA) e de seus familiares no âmbito do Município de Mogi Mirim, e dá outras providências”.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A referida Lei Municipal possui similaridade com o Projeto de Lei ora analisado, uma vez que institui um Censo Municipal.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sz w:val="26"/>
          <w:szCs w:val="26"/>
        </w:rPr>
      </w:pP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Por fim e no tocante ao aspecto gramatical e lógico, verifica-se que houve respeito às regras ortográficas e técnica legislativa, não havendo apontamentos neste sentido.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Portanto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seja no âmbito jurídico</w:t>
      </w:r>
      <w:r w:rsidDel="00000000" w:rsidR="00000000" w:rsidRPr="00000000">
        <w:rPr>
          <w:sz w:val="26"/>
          <w:szCs w:val="26"/>
          <w:rtl w:val="0"/>
        </w:rPr>
        <w:t xml:space="preserve"> e 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gramatical não se vislumbra irregularidades na propositura ora analisada, motivo pelo qual não se verifica óbice para continuidade da proposta apresentada pel</w:t>
      </w:r>
      <w:r w:rsidDel="00000000" w:rsidR="00000000" w:rsidRPr="00000000">
        <w:rPr>
          <w:sz w:val="26"/>
          <w:szCs w:val="26"/>
          <w:rtl w:val="0"/>
        </w:rPr>
        <w:t xml:space="preserve">a nobre vereadora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III. Substitutivos, Emendas ou subemendas ao Projeto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  <w:tab/>
        <w:t xml:space="preserve">O Relator não propõe qualquer alteração ao Projeto de Lei sob análise.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IV. Decisão do Relator.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Portanto, diante do exposto, esta relatoria considera que a presente propositura não apresenta vícios de constitucionalidade, recebendo assim parecer </w:t>
      </w:r>
      <w:r w:rsidDel="00000000" w:rsidR="00000000" w:rsidRPr="00000000">
        <w:rPr>
          <w:b w:val="1"/>
          <w:sz w:val="26"/>
          <w:szCs w:val="26"/>
          <w:rtl w:val="0"/>
        </w:rPr>
        <w:t xml:space="preserve">FAVORÁVEL.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VEREADOR </w:t>
      </w: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JOÃO VICTOR GASPARINI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Presidente /relator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PARECER N.º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  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/2022 DA COMISSÃO DE JUSTIÇA E REDAÇÃO</w:t>
      </w:r>
      <w:r w:rsidDel="00000000" w:rsidR="00000000" w:rsidRPr="00000000">
        <w:rPr>
          <w:b w:val="1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720"/>
        <w:jc w:val="both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Seguindo o Voto exarado pelo Relator e conforme determina o artigo 35</w:t>
      </w:r>
      <w:r w:rsidDel="00000000" w:rsidR="00000000" w:rsidRPr="00000000">
        <w:rPr>
          <w:sz w:val="26"/>
          <w:szCs w:val="26"/>
          <w:rtl w:val="0"/>
        </w:rPr>
        <w:t xml:space="preserve">, combinado com artigo 45 da Resolução n°  276 de 09 de novembro de 2.010, Regimento Interno da Câmara Municipal de Mogi Mirim, a Comissões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de Justiça</w:t>
      </w:r>
      <w:r w:rsidDel="00000000" w:rsidR="00000000" w:rsidRPr="00000000">
        <w:rPr>
          <w:sz w:val="26"/>
          <w:szCs w:val="26"/>
          <w:rtl w:val="0"/>
        </w:rPr>
        <w:t xml:space="preserve"> formaliza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o presente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PARECER FAVORÁVEL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Sala das Comissões, em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10</w:t>
      </w: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 de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 maio </w:t>
      </w: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highlight w:val="white"/>
          <w:u w:val="single"/>
          <w:rtl w:val="0"/>
        </w:rPr>
        <w:t xml:space="preserve">COMISSÃO DE JUSTIÇA E REDAÇÃO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045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VEREADOR JOÃO VICTOR GASPARINI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color w:val="000000"/>
          <w:sz w:val="26"/>
          <w:szCs w:val="26"/>
          <w:highlight w:val="white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Presidente / RELATOR</w:t>
      </w:r>
    </w:p>
    <w:p w:rsidR="00000000" w:rsidDel="00000000" w:rsidP="00000000" w:rsidRDefault="00000000" w:rsidRPr="00000000" w14:paraId="0000004A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VEREADORA MARA CRISTINA CHOQUETTA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Vice-presidente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053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VEREADORA DR. LÚCIA MARIA FERREIRA TENÓRIO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Membro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Rule="auto"/>
        <w:jc w:val="center"/>
        <w:rPr>
          <w:b w:val="1"/>
          <w:sz w:val="26"/>
          <w:szCs w:val="26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0" w:lineRule="auto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default"/>
      <w:pgSz w:h="16840" w:w="11907" w:orient="portrait"/>
      <w:pgMar w:bottom="1540.6299212598435" w:top="2268" w:left="1418" w:right="13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Dr. José Alves, 129 - Centro - Fone : (019) 3814.1200 - Fax: (019) 3814.1206 – Mogi Mirim - SP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038225" cy="752475"/>
          <wp:effectExtent b="0" l="0" r="0" t="0"/>
          <wp:docPr descr="brasaomm" id="1" name="image1.jpg"/>
          <a:graphic>
            <a:graphicData uri="http://schemas.openxmlformats.org/drawingml/2006/picture">
              <pic:pic>
                <pic:nvPicPr>
                  <pic:cNvPr descr="brasaomm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  <w:rtl w:val="0"/>
      </w:rPr>
      <w:t xml:space="preserve">CÂMARA MUNICIPAL DE MOGI MIRIM</w:t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7513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de São Paulo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