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5AA1" w:rsidP="005E0143">
      <w:pPr>
        <w:spacing w:line="360" w:lineRule="auto"/>
        <w:ind w:firstLine="709"/>
        <w:jc w:val="both"/>
        <w:rPr>
          <w:sz w:val="24"/>
          <w:szCs w:val="24"/>
        </w:rPr>
      </w:pPr>
    </w:p>
    <w:p w:rsidR="005E0143" w:rsidRPr="00B47337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CE07B9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90C23" w:rsidRPr="003F0EF6" w:rsidP="00690C23">
      <w:pPr>
        <w:spacing w:line="360" w:lineRule="auto"/>
        <w:ind w:firstLine="709"/>
        <w:jc w:val="both"/>
        <w:rPr>
          <w:b/>
          <w:sz w:val="26"/>
          <w:szCs w:val="26"/>
          <w:u w:val="single"/>
        </w:rPr>
      </w:pPr>
      <w:r w:rsidRPr="003F0EF6">
        <w:rPr>
          <w:b/>
          <w:sz w:val="26"/>
          <w:szCs w:val="26"/>
        </w:rPr>
        <w:t xml:space="preserve">Emenda </w:t>
      </w:r>
      <w:r w:rsidRPr="003F0EF6" w:rsidR="003E33B7">
        <w:rPr>
          <w:b/>
          <w:sz w:val="26"/>
          <w:szCs w:val="26"/>
        </w:rPr>
        <w:t>modificativa</w:t>
      </w:r>
      <w:r w:rsidR="002D7A0E">
        <w:rPr>
          <w:b/>
          <w:sz w:val="26"/>
          <w:szCs w:val="26"/>
        </w:rPr>
        <w:t xml:space="preserve"> nº 1</w:t>
      </w:r>
      <w:r w:rsidRPr="003F0EF6" w:rsidR="00493E9F">
        <w:rPr>
          <w:b/>
          <w:sz w:val="26"/>
          <w:szCs w:val="26"/>
        </w:rPr>
        <w:t xml:space="preserve"> </w:t>
      </w:r>
      <w:r w:rsidR="002D7A0E">
        <w:rPr>
          <w:b/>
          <w:sz w:val="26"/>
          <w:szCs w:val="26"/>
        </w:rPr>
        <w:t>ao Projeto de L</w:t>
      </w:r>
      <w:r w:rsidRPr="003F0EF6">
        <w:rPr>
          <w:b/>
          <w:sz w:val="26"/>
          <w:szCs w:val="26"/>
        </w:rPr>
        <w:t xml:space="preserve">ei nº </w:t>
      </w:r>
      <w:r w:rsidR="00471887">
        <w:rPr>
          <w:b/>
          <w:sz w:val="26"/>
          <w:szCs w:val="26"/>
        </w:rPr>
        <w:t>146/2022</w:t>
      </w:r>
      <w:r w:rsidRPr="003F0EF6">
        <w:rPr>
          <w:b/>
          <w:sz w:val="26"/>
          <w:szCs w:val="26"/>
        </w:rPr>
        <w:t xml:space="preserve"> que “</w:t>
      </w:r>
      <w:r w:rsidRPr="003F0EF6" w:rsidR="00493E9F">
        <w:rPr>
          <w:b/>
          <w:sz w:val="26"/>
          <w:szCs w:val="26"/>
        </w:rPr>
        <w:t>Estima a Receita e Fixa a Despesa do Município de Mog</w:t>
      </w:r>
      <w:r w:rsidR="00471887">
        <w:rPr>
          <w:b/>
          <w:sz w:val="26"/>
          <w:szCs w:val="26"/>
        </w:rPr>
        <w:t>i Mirim para o Exercício de 2023</w:t>
      </w:r>
      <w:r w:rsidR="002D7A0E">
        <w:rPr>
          <w:b/>
          <w:sz w:val="26"/>
          <w:szCs w:val="26"/>
        </w:rPr>
        <w:t xml:space="preserve"> (</w:t>
      </w:r>
      <w:r w:rsidR="002D7A0E">
        <w:rPr>
          <w:b/>
          <w:sz w:val="26"/>
          <w:szCs w:val="26"/>
        </w:rPr>
        <w:t>LOA)</w:t>
      </w:r>
      <w:r w:rsidRPr="003F0EF6" w:rsidR="00493E9F">
        <w:rPr>
          <w:b/>
          <w:sz w:val="26"/>
          <w:szCs w:val="26"/>
        </w:rPr>
        <w:t>”</w:t>
      </w:r>
    </w:p>
    <w:p w:rsidR="00690C23" w:rsidRPr="003F0EF6" w:rsidP="00690C23">
      <w:pPr>
        <w:spacing w:line="360" w:lineRule="auto"/>
        <w:ind w:firstLine="709"/>
        <w:rPr>
          <w:b/>
          <w:sz w:val="26"/>
          <w:szCs w:val="26"/>
          <w:u w:val="single"/>
        </w:rPr>
      </w:pPr>
    </w:p>
    <w:p w:rsidR="006679B3" w:rsidRPr="003F0EF6" w:rsidP="00690C23">
      <w:pPr>
        <w:spacing w:line="360" w:lineRule="auto"/>
        <w:ind w:firstLine="709"/>
        <w:rPr>
          <w:b/>
          <w:sz w:val="26"/>
          <w:szCs w:val="26"/>
        </w:rPr>
      </w:pPr>
      <w:r w:rsidRPr="003F0EF6">
        <w:rPr>
          <w:b/>
          <w:sz w:val="26"/>
          <w:szCs w:val="26"/>
          <w:u w:val="single"/>
        </w:rPr>
        <w:t xml:space="preserve">EMENDA </w:t>
      </w:r>
      <w:r w:rsidRPr="003F0EF6" w:rsidR="003E33B7">
        <w:rPr>
          <w:b/>
          <w:sz w:val="26"/>
          <w:szCs w:val="26"/>
          <w:u w:val="single"/>
        </w:rPr>
        <w:t>MODIFICATIVA</w:t>
      </w:r>
    </w:p>
    <w:p w:rsidR="006679B3" w:rsidRPr="003F0EF6" w:rsidP="006679B3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3E33B7" w:rsidP="003F0EF6">
      <w:pPr>
        <w:spacing w:line="360" w:lineRule="auto"/>
        <w:ind w:firstLine="708"/>
        <w:rPr>
          <w:sz w:val="26"/>
          <w:szCs w:val="26"/>
        </w:rPr>
      </w:pPr>
      <w:r w:rsidRPr="003F0EF6">
        <w:rPr>
          <w:sz w:val="26"/>
          <w:szCs w:val="26"/>
        </w:rPr>
        <w:t xml:space="preserve">Modifica-se </w:t>
      </w:r>
      <w:r w:rsidR="003B4427">
        <w:rPr>
          <w:sz w:val="26"/>
          <w:szCs w:val="26"/>
        </w:rPr>
        <w:t>Despesas por Unidade</w:t>
      </w:r>
      <w:r w:rsidR="00235AA1">
        <w:rPr>
          <w:sz w:val="26"/>
          <w:szCs w:val="26"/>
        </w:rPr>
        <w:t>.</w:t>
      </w:r>
    </w:p>
    <w:p w:rsidR="00F65BCE" w:rsidP="003F0EF6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- Unidade Executora: 01.31.11 – GESTÃO DO GABINETE</w:t>
      </w:r>
    </w:p>
    <w:tbl>
      <w:tblPr>
        <w:tblStyle w:val="TableGrid"/>
        <w:tblW w:w="0" w:type="auto"/>
        <w:tblLook w:val="04A0"/>
      </w:tblPr>
      <w:tblGrid>
        <w:gridCol w:w="2329"/>
        <w:gridCol w:w="2471"/>
        <w:gridCol w:w="2368"/>
        <w:gridCol w:w="1990"/>
      </w:tblGrid>
      <w:tr w:rsidTr="00F65BCE">
        <w:tblPrEx>
          <w:tblW w:w="0" w:type="auto"/>
          <w:tblLook w:val="04A0"/>
        </w:tblPrEx>
        <w:tc>
          <w:tcPr>
            <w:tcW w:w="2329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Classif</w:t>
            </w:r>
            <w:r>
              <w:rPr>
                <w:sz w:val="26"/>
                <w:szCs w:val="26"/>
              </w:rPr>
              <w:t>. Inst.</w:t>
            </w:r>
          </w:p>
        </w:tc>
        <w:tc>
          <w:tcPr>
            <w:tcW w:w="2471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SubFun</w:t>
            </w:r>
          </w:p>
        </w:tc>
        <w:tc>
          <w:tcPr>
            <w:tcW w:w="2368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Programa</w:t>
            </w:r>
          </w:p>
        </w:tc>
        <w:tc>
          <w:tcPr>
            <w:tcW w:w="1990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Valor</w:t>
            </w:r>
          </w:p>
        </w:tc>
      </w:tr>
      <w:tr w:rsidTr="00F65BCE">
        <w:tblPrEx>
          <w:tblW w:w="0" w:type="auto"/>
          <w:tblLook w:val="04A0"/>
        </w:tblPrEx>
        <w:tc>
          <w:tcPr>
            <w:tcW w:w="2329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01.31.11</w:t>
            </w:r>
          </w:p>
        </w:tc>
        <w:tc>
          <w:tcPr>
            <w:tcW w:w="2471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04.122</w:t>
            </w:r>
          </w:p>
        </w:tc>
        <w:tc>
          <w:tcPr>
            <w:tcW w:w="2368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990" w:type="dxa"/>
          </w:tcPr>
          <w:p w:rsidR="00F65BCE" w:rsidP="003F0EF6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R$ 159.408,00</w:t>
            </w:r>
          </w:p>
        </w:tc>
      </w:tr>
    </w:tbl>
    <w:p w:rsidR="00F65BCE" w:rsidP="003F0EF6">
      <w:pPr>
        <w:spacing w:line="360" w:lineRule="auto"/>
        <w:ind w:firstLine="708"/>
        <w:rPr>
          <w:sz w:val="26"/>
          <w:szCs w:val="26"/>
        </w:rPr>
      </w:pPr>
    </w:p>
    <w:p w:rsidR="00F65BCE" w:rsidP="003F0EF6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Passará a viger com o seguinte valor</w:t>
      </w:r>
    </w:p>
    <w:tbl>
      <w:tblPr>
        <w:tblStyle w:val="TableGrid"/>
        <w:tblW w:w="0" w:type="auto"/>
        <w:tblLook w:val="04A0"/>
      </w:tblPr>
      <w:tblGrid>
        <w:gridCol w:w="2329"/>
        <w:gridCol w:w="2471"/>
        <w:gridCol w:w="2368"/>
        <w:gridCol w:w="1990"/>
      </w:tblGrid>
      <w:tr w:rsidTr="002E7271">
        <w:tblPrEx>
          <w:tblW w:w="0" w:type="auto"/>
          <w:tblLook w:val="04A0"/>
        </w:tblPrEx>
        <w:tc>
          <w:tcPr>
            <w:tcW w:w="2329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Classif</w:t>
            </w:r>
            <w:r>
              <w:rPr>
                <w:sz w:val="26"/>
                <w:szCs w:val="26"/>
              </w:rPr>
              <w:t>. Inst.</w:t>
            </w:r>
          </w:p>
        </w:tc>
        <w:tc>
          <w:tcPr>
            <w:tcW w:w="2471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SubFun</w:t>
            </w:r>
          </w:p>
        </w:tc>
        <w:tc>
          <w:tcPr>
            <w:tcW w:w="2368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Programa</w:t>
            </w:r>
          </w:p>
        </w:tc>
        <w:tc>
          <w:tcPr>
            <w:tcW w:w="1990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Valor</w:t>
            </w:r>
          </w:p>
        </w:tc>
      </w:tr>
      <w:tr w:rsidTr="002E7271">
        <w:tblPrEx>
          <w:tblW w:w="0" w:type="auto"/>
          <w:tblLook w:val="04A0"/>
        </w:tblPrEx>
        <w:tc>
          <w:tcPr>
            <w:tcW w:w="2329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01.31.11</w:t>
            </w:r>
          </w:p>
        </w:tc>
        <w:tc>
          <w:tcPr>
            <w:tcW w:w="2471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04.122</w:t>
            </w:r>
          </w:p>
        </w:tc>
        <w:tc>
          <w:tcPr>
            <w:tcW w:w="2368" w:type="dxa"/>
          </w:tcPr>
          <w:p w:rsidR="00F65BCE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990" w:type="dxa"/>
          </w:tcPr>
          <w:p w:rsidR="00F65BCE" w:rsidP="00F65BCE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R$ 1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9.408,00</w:t>
            </w:r>
          </w:p>
        </w:tc>
      </w:tr>
    </w:tbl>
    <w:p w:rsidR="00F65BCE" w:rsidP="003F0EF6">
      <w:pPr>
        <w:spacing w:line="360" w:lineRule="auto"/>
        <w:ind w:firstLine="708"/>
        <w:rPr>
          <w:sz w:val="26"/>
          <w:szCs w:val="26"/>
        </w:rPr>
      </w:pPr>
    </w:p>
    <w:p w:rsidR="00F65BCE" w:rsidP="003F0EF6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O remanejo dos R$ 50.000,00 (cinquenta mil reais)</w:t>
      </w:r>
      <w:r w:rsidR="00235AA1">
        <w:rPr>
          <w:sz w:val="26"/>
          <w:szCs w:val="26"/>
        </w:rPr>
        <w:t xml:space="preserve"> referente ao código acima será transposto para:</w:t>
      </w:r>
    </w:p>
    <w:p w:rsidR="00235AA1" w:rsidP="00235AA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- Unidade Executora: 01.</w:t>
      </w:r>
      <w:r>
        <w:rPr>
          <w:sz w:val="26"/>
          <w:szCs w:val="26"/>
        </w:rPr>
        <w:t>45</w:t>
      </w:r>
      <w:r>
        <w:rPr>
          <w:sz w:val="26"/>
          <w:szCs w:val="26"/>
        </w:rPr>
        <w:t xml:space="preserve">.11 – GESTÃO </w:t>
      </w:r>
      <w:r>
        <w:rPr>
          <w:sz w:val="26"/>
          <w:szCs w:val="26"/>
        </w:rPr>
        <w:t>DE MEIO AMBIENTE</w:t>
      </w:r>
    </w:p>
    <w:tbl>
      <w:tblPr>
        <w:tblStyle w:val="TableGrid"/>
        <w:tblW w:w="0" w:type="auto"/>
        <w:tblLook w:val="04A0"/>
      </w:tblPr>
      <w:tblGrid>
        <w:gridCol w:w="1866"/>
        <w:gridCol w:w="1606"/>
        <w:gridCol w:w="2099"/>
        <w:gridCol w:w="1929"/>
        <w:gridCol w:w="1658"/>
      </w:tblGrid>
      <w:tr w:rsidTr="00235AA1">
        <w:tblPrEx>
          <w:tblW w:w="0" w:type="auto"/>
          <w:tblLook w:val="04A0"/>
        </w:tblPrEx>
        <w:tc>
          <w:tcPr>
            <w:tcW w:w="1866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Classif</w:t>
            </w:r>
            <w:r>
              <w:rPr>
                <w:sz w:val="26"/>
                <w:szCs w:val="26"/>
              </w:rPr>
              <w:t>. Inst.</w:t>
            </w:r>
          </w:p>
        </w:tc>
        <w:tc>
          <w:tcPr>
            <w:tcW w:w="1606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SubFun</w:t>
            </w:r>
          </w:p>
        </w:tc>
        <w:tc>
          <w:tcPr>
            <w:tcW w:w="1929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Programa</w:t>
            </w:r>
          </w:p>
        </w:tc>
        <w:tc>
          <w:tcPr>
            <w:tcW w:w="1658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Valor</w:t>
            </w:r>
          </w:p>
        </w:tc>
      </w:tr>
      <w:tr w:rsidTr="00235AA1">
        <w:tblPrEx>
          <w:tblW w:w="0" w:type="auto"/>
          <w:tblLook w:val="04A0"/>
        </w:tblPrEx>
        <w:tc>
          <w:tcPr>
            <w:tcW w:w="1866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01.45</w:t>
            </w:r>
            <w:r>
              <w:rPr>
                <w:sz w:val="26"/>
                <w:szCs w:val="26"/>
              </w:rPr>
              <w:t>.11</w:t>
            </w:r>
          </w:p>
        </w:tc>
        <w:tc>
          <w:tcPr>
            <w:tcW w:w="1606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2099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18.541</w:t>
            </w:r>
          </w:p>
        </w:tc>
        <w:tc>
          <w:tcPr>
            <w:tcW w:w="1929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658" w:type="dxa"/>
          </w:tcPr>
          <w:p w:rsidR="00235AA1" w:rsidP="00235AA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>
              <w:rPr>
                <w:sz w:val="26"/>
                <w:szCs w:val="26"/>
              </w:rPr>
              <w:t>1.000,00</w:t>
            </w:r>
          </w:p>
        </w:tc>
      </w:tr>
    </w:tbl>
    <w:p w:rsidR="00235AA1" w:rsidP="00235AA1">
      <w:pPr>
        <w:spacing w:line="360" w:lineRule="auto"/>
        <w:ind w:firstLine="708"/>
        <w:rPr>
          <w:sz w:val="26"/>
          <w:szCs w:val="26"/>
        </w:rPr>
      </w:pPr>
    </w:p>
    <w:p w:rsidR="00235AA1" w:rsidP="00235AA1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Que p</w:t>
      </w:r>
      <w:r>
        <w:rPr>
          <w:sz w:val="26"/>
          <w:szCs w:val="26"/>
        </w:rPr>
        <w:t>assará a viger com o seguinte valor</w:t>
      </w:r>
    </w:p>
    <w:tbl>
      <w:tblPr>
        <w:tblStyle w:val="TableGrid"/>
        <w:tblW w:w="0" w:type="auto"/>
        <w:tblLook w:val="04A0"/>
      </w:tblPr>
      <w:tblGrid>
        <w:gridCol w:w="2329"/>
        <w:gridCol w:w="2471"/>
        <w:gridCol w:w="2368"/>
        <w:gridCol w:w="1990"/>
      </w:tblGrid>
      <w:tr w:rsidTr="002E7271">
        <w:tblPrEx>
          <w:tblW w:w="0" w:type="auto"/>
          <w:tblLook w:val="04A0"/>
        </w:tblPrEx>
        <w:tc>
          <w:tcPr>
            <w:tcW w:w="2329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Classif</w:t>
            </w:r>
            <w:r>
              <w:rPr>
                <w:sz w:val="26"/>
                <w:szCs w:val="26"/>
              </w:rPr>
              <w:t>. Inst.</w:t>
            </w:r>
          </w:p>
        </w:tc>
        <w:tc>
          <w:tcPr>
            <w:tcW w:w="2471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SubFun</w:t>
            </w:r>
          </w:p>
        </w:tc>
        <w:tc>
          <w:tcPr>
            <w:tcW w:w="2368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Programa</w:t>
            </w:r>
          </w:p>
        </w:tc>
        <w:tc>
          <w:tcPr>
            <w:tcW w:w="1990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Valor</w:t>
            </w:r>
          </w:p>
        </w:tc>
      </w:tr>
      <w:tr w:rsidTr="002E7271">
        <w:tblPrEx>
          <w:tblW w:w="0" w:type="auto"/>
          <w:tblLook w:val="04A0"/>
        </w:tblPrEx>
        <w:tc>
          <w:tcPr>
            <w:tcW w:w="2329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01.45.11</w:t>
            </w:r>
          </w:p>
        </w:tc>
        <w:tc>
          <w:tcPr>
            <w:tcW w:w="2471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18.541</w:t>
            </w:r>
          </w:p>
        </w:tc>
        <w:tc>
          <w:tcPr>
            <w:tcW w:w="2368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</w:t>
            </w:r>
          </w:p>
        </w:tc>
        <w:tc>
          <w:tcPr>
            <w:tcW w:w="1990" w:type="dxa"/>
          </w:tcPr>
          <w:p w:rsidR="00235AA1" w:rsidP="002E727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1.000,00</w:t>
            </w:r>
          </w:p>
        </w:tc>
      </w:tr>
    </w:tbl>
    <w:p w:rsidR="00235AA1" w:rsidP="003F0EF6">
      <w:pPr>
        <w:spacing w:line="360" w:lineRule="auto"/>
        <w:ind w:firstLine="708"/>
        <w:rPr>
          <w:sz w:val="26"/>
          <w:szCs w:val="26"/>
        </w:rPr>
      </w:pPr>
    </w:p>
    <w:p w:rsidR="00F65BCE" w:rsidRPr="003F0EF6" w:rsidP="003F0EF6">
      <w:pPr>
        <w:spacing w:line="360" w:lineRule="auto"/>
        <w:ind w:firstLine="708"/>
        <w:rPr>
          <w:sz w:val="26"/>
          <w:szCs w:val="26"/>
        </w:rPr>
      </w:pPr>
    </w:p>
    <w:p w:rsidR="00690C23" w:rsidRPr="003F0EF6" w:rsidP="003E33B7">
      <w:pPr>
        <w:pStyle w:val="PlainText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35AA1" w:rsidP="00690C23">
      <w:pPr>
        <w:spacing w:line="276" w:lineRule="auto"/>
        <w:jc w:val="both"/>
        <w:rPr>
          <w:b/>
          <w:sz w:val="26"/>
          <w:szCs w:val="26"/>
        </w:rPr>
      </w:pPr>
    </w:p>
    <w:p w:rsidR="006679B3" w:rsidP="00690C23">
      <w:pPr>
        <w:spacing w:line="276" w:lineRule="auto"/>
        <w:jc w:val="both"/>
        <w:rPr>
          <w:b/>
          <w:sz w:val="26"/>
          <w:szCs w:val="26"/>
        </w:rPr>
      </w:pPr>
      <w:r w:rsidRPr="003F0EF6">
        <w:rPr>
          <w:b/>
          <w:sz w:val="26"/>
          <w:szCs w:val="26"/>
        </w:rPr>
        <w:t>JUSTIFICATIVA</w:t>
      </w:r>
    </w:p>
    <w:p w:rsidR="00235AA1" w:rsidP="00690C23">
      <w:pPr>
        <w:spacing w:line="276" w:lineRule="auto"/>
        <w:jc w:val="both"/>
        <w:rPr>
          <w:b/>
          <w:sz w:val="26"/>
          <w:szCs w:val="26"/>
        </w:rPr>
      </w:pPr>
    </w:p>
    <w:p w:rsidR="00235AA1" w:rsidP="00C2732D">
      <w:pPr>
        <w:spacing w:line="360" w:lineRule="auto"/>
        <w:ind w:firstLine="708"/>
        <w:jc w:val="both"/>
        <w:rPr>
          <w:sz w:val="26"/>
          <w:szCs w:val="26"/>
        </w:rPr>
      </w:pPr>
      <w:r w:rsidRPr="00235AA1">
        <w:rPr>
          <w:sz w:val="26"/>
          <w:szCs w:val="26"/>
        </w:rPr>
        <w:t xml:space="preserve">Considerando a grande demanda de animais abandonados ou necessitados </w:t>
      </w:r>
      <w:r w:rsidR="003B280D">
        <w:rPr>
          <w:sz w:val="26"/>
          <w:szCs w:val="26"/>
        </w:rPr>
        <w:t>de socorro no município de Mogi Mirim.</w:t>
      </w:r>
    </w:p>
    <w:p w:rsidR="003B280D" w:rsidP="00C2732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 muitas pessoas</w:t>
      </w:r>
      <w:r w:rsidR="00C2732D">
        <w:rPr>
          <w:sz w:val="26"/>
          <w:szCs w:val="26"/>
        </w:rPr>
        <w:t>,</w:t>
      </w:r>
      <w:r>
        <w:rPr>
          <w:sz w:val="26"/>
          <w:szCs w:val="26"/>
        </w:rPr>
        <w:t xml:space="preserve"> durante a pandemia</w:t>
      </w:r>
      <w:r w:rsidR="00C2732D">
        <w:rPr>
          <w:sz w:val="26"/>
          <w:szCs w:val="26"/>
        </w:rPr>
        <w:t>,</w:t>
      </w:r>
      <w:r>
        <w:rPr>
          <w:sz w:val="26"/>
          <w:szCs w:val="26"/>
        </w:rPr>
        <w:t xml:space="preserve"> não conseguiram mais manter seus animais</w:t>
      </w:r>
      <w:r w:rsidR="00E42FF1">
        <w:rPr>
          <w:sz w:val="26"/>
          <w:szCs w:val="26"/>
        </w:rPr>
        <w:t>,</w:t>
      </w:r>
      <w:r>
        <w:rPr>
          <w:sz w:val="26"/>
          <w:szCs w:val="26"/>
        </w:rPr>
        <w:t xml:space="preserve"> deixando-os nas ruas, o que resultou em aumento de resgates.</w:t>
      </w:r>
    </w:p>
    <w:p w:rsidR="003B280D" w:rsidP="00C2732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</w:t>
      </w:r>
      <w:r w:rsidRPr="00AA073E" w:rsidR="00AA073E">
        <w:rPr>
          <w:sz w:val="26"/>
          <w:szCs w:val="26"/>
        </w:rPr>
        <w:t xml:space="preserve"> </w:t>
      </w:r>
      <w:r w:rsidR="00AA073E">
        <w:rPr>
          <w:sz w:val="26"/>
          <w:szCs w:val="26"/>
        </w:rPr>
        <w:t>que</w:t>
      </w:r>
      <w:r w:rsidR="00AA073E">
        <w:rPr>
          <w:sz w:val="26"/>
          <w:szCs w:val="26"/>
        </w:rPr>
        <w:t xml:space="preserve"> a única </w:t>
      </w:r>
      <w:r w:rsidR="00AA073E">
        <w:rPr>
          <w:sz w:val="26"/>
          <w:szCs w:val="26"/>
        </w:rPr>
        <w:t>Ong</w:t>
      </w:r>
      <w:r w:rsidR="00AA073E">
        <w:rPr>
          <w:sz w:val="26"/>
          <w:szCs w:val="26"/>
        </w:rPr>
        <w:t xml:space="preserve"> q</w:t>
      </w:r>
      <w:r w:rsidR="00AA073E">
        <w:rPr>
          <w:sz w:val="26"/>
          <w:szCs w:val="26"/>
        </w:rPr>
        <w:t xml:space="preserve">ue havia na cidade foi fechada, segundo os membros, por falta de apoio. E </w:t>
      </w:r>
      <w:r>
        <w:rPr>
          <w:sz w:val="26"/>
          <w:szCs w:val="26"/>
        </w:rPr>
        <w:t>a Prefeitura não atende esta demanda</w:t>
      </w:r>
      <w:r w:rsidR="00E42FF1">
        <w:rPr>
          <w:sz w:val="26"/>
          <w:szCs w:val="26"/>
        </w:rPr>
        <w:t xml:space="preserve"> “transferindo” a obrigação aos protetores independentes,</w:t>
      </w:r>
      <w:r w:rsidR="00AA073E">
        <w:rPr>
          <w:sz w:val="26"/>
          <w:szCs w:val="26"/>
        </w:rPr>
        <w:t xml:space="preserve"> </w:t>
      </w:r>
      <w:r w:rsidR="00E42FF1">
        <w:rPr>
          <w:sz w:val="26"/>
          <w:szCs w:val="26"/>
        </w:rPr>
        <w:t xml:space="preserve">que acabam ficando sufocados com tantos pedidos e, até endividados por utilizarem recursos próprios para realizar essas ações. </w:t>
      </w:r>
    </w:p>
    <w:p w:rsidR="00E42FF1" w:rsidP="00C2732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Tendo em vista, que temos um Departamento Competente para esta função, porém com poucos recursos e estrutura deficitária, impedindo que ampliem o atendimento, ou até mesmo atendam parte desta demanda.</w:t>
      </w:r>
    </w:p>
    <w:p w:rsidR="00E42FF1" w:rsidP="00C2732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Ou seja, considerando que a receita é muito menor que as despesas, não suprindo as reais necessidades.</w:t>
      </w:r>
    </w:p>
    <w:p w:rsidR="00856D72" w:rsidP="00C2732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 faz urgentemente necessário o aumento de repasse para este fim. </w:t>
      </w:r>
    </w:p>
    <w:p w:rsidR="00E42FF1" w:rsidP="00C2732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Vale destacar que recentemente o Fundo Municipal do Programa de </w:t>
      </w:r>
      <w:r>
        <w:rPr>
          <w:sz w:val="26"/>
          <w:szCs w:val="26"/>
        </w:rPr>
        <w:t>Bem Estar</w:t>
      </w:r>
      <w:r>
        <w:rPr>
          <w:sz w:val="26"/>
          <w:szCs w:val="26"/>
        </w:rPr>
        <w:t xml:space="preserve"> Animal destinou recursos para compra de medicamentos ao Bem Estar Animal (BEA), pertencente à Secretaria de Sustentabilidade Ambiental para aquisição de medicamentos</w:t>
      </w:r>
      <w:r w:rsidR="00856D72">
        <w:rPr>
          <w:sz w:val="26"/>
          <w:szCs w:val="26"/>
        </w:rPr>
        <w:t xml:space="preserve">, pois os mesmos estavam em falta para atenções básicas realizadas no dia a dia. </w:t>
      </w:r>
    </w:p>
    <w:p w:rsidR="00856D72" w:rsidP="00C273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Também é importante frisar que além desta, existem outras necessidades do Departamento para executar as ações diárias, como equipamentos e materiais permanentes.</w:t>
      </w:r>
    </w:p>
    <w:p w:rsidR="00C2732D" w:rsidP="00AA07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Por isso, a importância de transferirmos um pouco mais de recursos ao Fundo, uma vez que, R$ 1.000,00 reais é insuficiente para auxiliar no trabalho com a Causa Animal do nosso município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que merece um pouco mais de atenção do Poder Público</w:t>
      </w:r>
      <w:r>
        <w:rPr>
          <w:sz w:val="26"/>
          <w:szCs w:val="26"/>
        </w:rPr>
        <w:t>, atendo ao menos parte desta grande demanda</w:t>
      </w:r>
      <w:r w:rsidR="0087367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pois </w:t>
      </w:r>
      <w:r w:rsidR="00AA073E">
        <w:rPr>
          <w:sz w:val="26"/>
          <w:szCs w:val="26"/>
        </w:rPr>
        <w:t>os protetores independentes</w:t>
      </w:r>
      <w:r>
        <w:rPr>
          <w:sz w:val="26"/>
          <w:szCs w:val="26"/>
        </w:rPr>
        <w:t xml:space="preserve"> estão</w:t>
      </w:r>
      <w:r w:rsidR="00AA073E">
        <w:rPr>
          <w:sz w:val="26"/>
          <w:szCs w:val="26"/>
        </w:rPr>
        <w:t xml:space="preserve"> lotado</w:t>
      </w:r>
      <w:r>
        <w:rPr>
          <w:sz w:val="26"/>
          <w:szCs w:val="26"/>
        </w:rPr>
        <w:t>s de animais, não tendo condições de resgatar mais e chegam até adoecere</w:t>
      </w:r>
      <w:bookmarkStart w:id="0" w:name="_GoBack"/>
      <w:bookmarkEnd w:id="0"/>
      <w:r>
        <w:rPr>
          <w:sz w:val="26"/>
          <w:szCs w:val="26"/>
        </w:rPr>
        <w:t xml:space="preserve">m por isso, o que eu considero questão até de saúde pública. </w:t>
      </w:r>
    </w:p>
    <w:p w:rsidR="00AA073E" w:rsidP="00AA07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A073E" w:rsidP="00AA073E">
      <w:pPr>
        <w:spacing w:line="360" w:lineRule="auto"/>
        <w:jc w:val="both"/>
        <w:rPr>
          <w:sz w:val="26"/>
          <w:szCs w:val="26"/>
        </w:rPr>
      </w:pPr>
    </w:p>
    <w:p w:rsidR="00E42FF1" w:rsidRPr="00235AA1" w:rsidP="00AA07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Devemos, por fim, investir mais para podermos desenvolver ações de políticas públicas eficazes no controle populacional desses animais e medidas cabíveis para o combate ao abandono e adoções responsáveis. Atualmente, o </w:t>
      </w:r>
      <w:r>
        <w:rPr>
          <w:sz w:val="26"/>
          <w:szCs w:val="26"/>
        </w:rPr>
        <w:t>Bem Estar</w:t>
      </w:r>
      <w:r>
        <w:rPr>
          <w:sz w:val="26"/>
          <w:szCs w:val="26"/>
        </w:rPr>
        <w:t xml:space="preserve"> Animal não possui o mínimo de condições para realizar feira de adoção, por exemplo, não permitindo que haja um fluxo de entrada e saída de animais, ou seja, não abre vaga para o resgate de novos, dentre outras medidas, que devem ser implantadas o quanto antes voltada à Causa Animal.  </w:t>
      </w:r>
    </w:p>
    <w:p w:rsidR="00690C23" w:rsidRPr="003F0EF6" w:rsidP="00690C23">
      <w:pPr>
        <w:spacing w:line="276" w:lineRule="auto"/>
        <w:jc w:val="center"/>
        <w:rPr>
          <w:b/>
          <w:sz w:val="26"/>
          <w:szCs w:val="26"/>
        </w:rPr>
      </w:pPr>
    </w:p>
    <w:p w:rsidR="005E0143" w:rsidRPr="003F0EF6" w:rsidP="003F0EF6">
      <w:pPr>
        <w:spacing w:line="276" w:lineRule="auto"/>
        <w:jc w:val="both"/>
        <w:rPr>
          <w:b/>
          <w:sz w:val="24"/>
          <w:szCs w:val="24"/>
        </w:rPr>
      </w:pPr>
      <w:r w:rsidRPr="003F0EF6">
        <w:rPr>
          <w:b/>
          <w:sz w:val="24"/>
          <w:szCs w:val="24"/>
        </w:rPr>
        <w:t>SALA DAS SESSÕES, “VEREADOR SANTO RÓTOLLI</w:t>
      </w:r>
      <w:r w:rsidRPr="003F0EF6">
        <w:rPr>
          <w:b/>
          <w:sz w:val="24"/>
          <w:szCs w:val="24"/>
        </w:rPr>
        <w:t xml:space="preserve">”, em </w:t>
      </w:r>
      <w:r w:rsidR="00C2732D">
        <w:rPr>
          <w:b/>
          <w:sz w:val="24"/>
          <w:szCs w:val="24"/>
        </w:rPr>
        <w:t>18 de outubro de 2022</w:t>
      </w:r>
      <w:r w:rsidRPr="003F0EF6" w:rsidR="003F0EF6">
        <w:rPr>
          <w:b/>
          <w:sz w:val="24"/>
          <w:szCs w:val="24"/>
        </w:rPr>
        <w:t>.</w:t>
      </w:r>
    </w:p>
    <w:p w:rsidR="007E7D84" w:rsidRPr="003F0EF6" w:rsidP="007E7D84">
      <w:pPr>
        <w:jc w:val="center"/>
        <w:rPr>
          <w:b/>
          <w:sz w:val="26"/>
          <w:szCs w:val="26"/>
        </w:rPr>
      </w:pPr>
    </w:p>
    <w:p w:rsidR="007E7D84" w:rsidRPr="003F0EF6" w:rsidP="007E7D84">
      <w:pPr>
        <w:jc w:val="center"/>
        <w:rPr>
          <w:b/>
          <w:sz w:val="26"/>
          <w:szCs w:val="26"/>
        </w:rPr>
      </w:pPr>
    </w:p>
    <w:p w:rsidR="004D1177" w:rsidRPr="003F0EF6" w:rsidP="007E7D84">
      <w:pPr>
        <w:jc w:val="center"/>
        <w:rPr>
          <w:noProof/>
          <w:sz w:val="26"/>
          <w:szCs w:val="26"/>
        </w:rPr>
      </w:pPr>
    </w:p>
    <w:p w:rsidR="00690C23" w:rsidRPr="003F0EF6" w:rsidP="007E7D84">
      <w:pPr>
        <w:jc w:val="center"/>
        <w:rPr>
          <w:b/>
          <w:sz w:val="26"/>
          <w:szCs w:val="26"/>
        </w:rPr>
      </w:pPr>
    </w:p>
    <w:p w:rsidR="007E7D84" w:rsidRPr="003F0EF6" w:rsidP="007E7D84">
      <w:pPr>
        <w:jc w:val="center"/>
        <w:rPr>
          <w:b/>
          <w:sz w:val="26"/>
          <w:szCs w:val="26"/>
        </w:rPr>
      </w:pPr>
      <w:r w:rsidRPr="003F0EF6">
        <w:rPr>
          <w:b/>
          <w:sz w:val="26"/>
          <w:szCs w:val="26"/>
        </w:rPr>
        <w:t>Vereadora e Investigadora da Polícia Civil Sonia Regina Rodrigues</w:t>
      </w:r>
      <w:r w:rsidR="00C2732D">
        <w:rPr>
          <w:b/>
          <w:sz w:val="26"/>
          <w:szCs w:val="26"/>
        </w:rPr>
        <w:t xml:space="preserve"> </w:t>
      </w:r>
      <w:r w:rsidR="00C2732D">
        <w:rPr>
          <w:b/>
          <w:sz w:val="26"/>
          <w:szCs w:val="26"/>
        </w:rPr>
        <w:t>Módena</w:t>
      </w:r>
    </w:p>
    <w:p w:rsidR="005E0143" w:rsidRPr="003F0EF6" w:rsidP="00C2732D">
      <w:pPr>
        <w:jc w:val="center"/>
        <w:rPr>
          <w:sz w:val="26"/>
          <w:szCs w:val="26"/>
        </w:rPr>
      </w:pPr>
      <w:r w:rsidRPr="003F0EF6">
        <w:rPr>
          <w:b/>
          <w:sz w:val="26"/>
          <w:szCs w:val="26"/>
        </w:rPr>
        <w:t xml:space="preserve"> </w:t>
      </w:r>
      <w:r w:rsidR="00C2732D">
        <w:rPr>
          <w:b/>
          <w:sz w:val="26"/>
          <w:szCs w:val="26"/>
        </w:rPr>
        <w:t>PRESIDENTE DA CÂMARA</w:t>
      </w:r>
    </w:p>
    <w:p w:rsidR="003F0EF6" w:rsidRPr="003F0EF6">
      <w:pPr>
        <w:jc w:val="center"/>
        <w:rPr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FD2951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020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7B87"/>
    <w:rsid w:val="000F6FDF"/>
    <w:rsid w:val="00174805"/>
    <w:rsid w:val="00221E31"/>
    <w:rsid w:val="00235AA1"/>
    <w:rsid w:val="002D7A0E"/>
    <w:rsid w:val="002E684A"/>
    <w:rsid w:val="002E7271"/>
    <w:rsid w:val="00306F98"/>
    <w:rsid w:val="00312EB4"/>
    <w:rsid w:val="0036064E"/>
    <w:rsid w:val="003B280D"/>
    <w:rsid w:val="003B4427"/>
    <w:rsid w:val="003E33B7"/>
    <w:rsid w:val="003F0EF6"/>
    <w:rsid w:val="00442B5D"/>
    <w:rsid w:val="00462911"/>
    <w:rsid w:val="00471887"/>
    <w:rsid w:val="00492681"/>
    <w:rsid w:val="00493E9F"/>
    <w:rsid w:val="004D1177"/>
    <w:rsid w:val="005437E5"/>
    <w:rsid w:val="005E0143"/>
    <w:rsid w:val="006679B3"/>
    <w:rsid w:val="00673DE1"/>
    <w:rsid w:val="00690C23"/>
    <w:rsid w:val="00771E97"/>
    <w:rsid w:val="007E7D84"/>
    <w:rsid w:val="0082258C"/>
    <w:rsid w:val="00856D72"/>
    <w:rsid w:val="00873679"/>
    <w:rsid w:val="008F30A0"/>
    <w:rsid w:val="0093222D"/>
    <w:rsid w:val="00960D34"/>
    <w:rsid w:val="009B56D2"/>
    <w:rsid w:val="00A457EC"/>
    <w:rsid w:val="00AA073E"/>
    <w:rsid w:val="00AC11D9"/>
    <w:rsid w:val="00B12F01"/>
    <w:rsid w:val="00B373C7"/>
    <w:rsid w:val="00B444E1"/>
    <w:rsid w:val="00B47337"/>
    <w:rsid w:val="00B94FC4"/>
    <w:rsid w:val="00BA47D2"/>
    <w:rsid w:val="00C2732D"/>
    <w:rsid w:val="00CE07B9"/>
    <w:rsid w:val="00D02E2C"/>
    <w:rsid w:val="00D4035E"/>
    <w:rsid w:val="00D93D8B"/>
    <w:rsid w:val="00E42FF1"/>
    <w:rsid w:val="00E53258"/>
    <w:rsid w:val="00F04DA2"/>
    <w:rsid w:val="00F36456"/>
    <w:rsid w:val="00F45664"/>
    <w:rsid w:val="00F65BCE"/>
    <w:rsid w:val="00FD29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272918-BEFE-42DB-B3B2-1C4B634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322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65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Sonia</cp:lastModifiedBy>
  <cp:revision>4</cp:revision>
  <cp:lastPrinted>2020-11-25T19:52:00Z</cp:lastPrinted>
  <dcterms:created xsi:type="dcterms:W3CDTF">2022-10-18T18:06:00Z</dcterms:created>
  <dcterms:modified xsi:type="dcterms:W3CDTF">2022-10-18T18:50:00Z</dcterms:modified>
</cp:coreProperties>
</file>