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51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76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Autora: Vereadora Sonia Regina Rodrigues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Vereadora Sonia Regina Rodrigues encaminha a esta Casa de Leis o Projeto de Lei n° 51 de 2022, com a seguinte ementa: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6"/>
          <w:szCs w:val="26"/>
          <w:rtl w:val="0"/>
        </w:rPr>
        <w:t xml:space="preserve">Adota o Programa Vizinhança Solidária no Município de Mogi Mirim".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objetivo da Propositura em análise é instituir no Município um programa de ação conjunta para melhorar a segurança pública nos bairros da cidade, através de parcerias entre o Conselho Segurança Pública (CONSEG), a Secretaria Municipal de Segurança Pública e os moradores de cada rua, bairro e regiões de Mogi Mirim.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Para melhor análise do Projeto de Lei em epígrafe, a Comissão de Justiça e Redação requereu à SGP - Soluções em Gestão Pública - parecer técnico-jurídico da Propositura, resultando na CONSULTA/0191/2022/MN/G, anexa ao processo do Projeto de Lei, a qual exarou recomendações pela a rejeição do Projeto, considerando que o mesmo não seria de competência legislativa municipal, além da vigência da Lei Estadual n° 16.771/2018, que “Programa Vizinhança Solidária” no âmbito do Estado de São Paulo.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Entretanto, consideramos que o tema tratado na Propositura em análise se enquadra dentro do interesse local, disposto no inciso I do artigo 30 da nossa Carta Magna, bem como amparado no art. 12, inciso I e II da Lei Orgânica do Município de Mogi Mirim.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12. Ao Município compete prover tudo quanto diga respeito ao seu peculiar interesse e ao bem-estar de sua população, cabendo-lhe, privativamente, dentre outras, as seguintes atribuições: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– legislar sobre assuntos de interesse local, na área urbana e rural;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 – suplementar a legislação Federal e a Estadual, no que couber;”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76" w:lineRule="auto"/>
        <w:ind w:firstLine="58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suplementação da legislação federal e estadual, entendemos que a Lei Estadual n° 16.771/2018 não é suficientemente ampla, pois não engloba a participação da Secretaria de Segurança Pública do Município. Neste sentido, consideramos que este órgão possui uma importante atribuição e conhecimento técnico para a manutenção da segurança no âmbito municipal. 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="276" w:lineRule="auto"/>
        <w:ind w:firstLine="58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Ademais, a mencionada Lei prevê apenas a participação da Polícia Militar do Estado no acompanhamento do Programa. É lugar comum a importância da PM/SP para a segurança de todos os paulistas, entretanto, entendemos que é razoável a ampliação do programa para a possibilidade da participação também de Guardas Municipais, ligados a Secretaria de Segurança Pública Municipal, no acompanhamento de programas que visam o combate à violência, contravenções e crimes no Município de Mogi Mirim. 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76" w:lineRule="auto"/>
        <w:ind w:firstLine="58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Cabe ressaltar que a propositura também prevê a participação do Conselho de Segurança Pública de Mogi Mirim - CONSEG. O referido conselho foi criado pela Lei Municipal 2.285 de 1992, com atribuições dispostas em seu artigo 2°, dentre os quais destacam-se nas disposições de seus incisos IV, V e VI: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i w:val="1"/>
          <w:sz w:val="26"/>
          <w:szCs w:val="26"/>
          <w:rtl w:val="0"/>
        </w:rPr>
        <w:t xml:space="preserve">Art. 2° 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São atribuições deste Conselho, dentre outras:     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="276" w:lineRule="auto"/>
        <w:ind w:left="3600" w:firstLine="7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 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IV - planejar a ação comunitária de segurança e avaliar seus resultados;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V - desenvolver campanhas educativas, visando orientar a população sobre condições e formas de segurança;</w:t>
      </w:r>
    </w:p>
    <w:p w:rsidR="00000000" w:rsidDel="00000000" w:rsidP="00000000" w:rsidRDefault="00000000" w:rsidRPr="00000000" w14:paraId="0000001D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VI - trabalhar junto à população e ao governa para combater causas que gerem a criminalidade e a violência em geral.”</w:t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276" w:lineRule="auto"/>
        <w:ind w:firstLine="58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Neste sentido, entendemos que não escapa das atribuições do CONSEG a sua participação em programas que visam o trabalho em conjunto com a população e a Secretaria de Segurança Pública, na busca do combate à violência e à insegurança.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200" w:line="276" w:lineRule="auto"/>
        <w:ind w:firstLine="58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 relação ao aspecto gramatical e lógico, a Comissão identificou alguns vícios de linguagem, sendo assim, entramos em contato com a autora da Propositura para a adequação gramatical e técnico-legislativa, que prontamente foram atendidas na apresentação de emendas ao Projeto. </w:t>
      </w:r>
    </w:p>
    <w:p w:rsidR="00000000" w:rsidDel="00000000" w:rsidP="00000000" w:rsidRDefault="00000000" w:rsidRPr="00000000" w14:paraId="00000020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consideramos que não há irregularidades legais na propositura analisada, motivo pelo qual não se verifica óbice para a continuidade da proposta apresentada pela vereadora.</w:t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/relator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N.º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/2022 DA COMISSÃO DE JUSTIÇA E REDAÇÃO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 da Resolução n°  276 de 09 de novembro de 2.010, Regimento Interno da Câmara Municipal de Mogi Mirim, a Comissões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</w:t>
      </w:r>
      <w:r w:rsidDel="00000000" w:rsidR="00000000" w:rsidRPr="00000000">
        <w:rPr>
          <w:sz w:val="26"/>
          <w:szCs w:val="26"/>
          <w:rtl w:val="0"/>
        </w:rPr>
        <w:t xml:space="preserve"> formaliza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ao Projeto de Lei </w:t>
      </w:r>
      <w:r w:rsidDel="00000000" w:rsidR="00000000" w:rsidRPr="00000000">
        <w:rPr>
          <w:sz w:val="26"/>
          <w:szCs w:val="26"/>
          <w:rtl w:val="0"/>
        </w:rPr>
        <w:t xml:space="preserve">n° 51 de 2022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24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outubro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B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 / R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9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0" w:lineRule="auto"/>
        <w:jc w:val="left"/>
        <w:rPr>
          <w:rFonts w:ascii="Calibri" w:cs="Calibri" w:eastAsia="Calibri" w:hAnsi="Calibri"/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115.433070866140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