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RELATÓRIO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Projeto de Lei n.º </w:t>
      </w:r>
      <w:r w:rsidDel="00000000" w:rsidR="00000000" w:rsidRPr="00000000">
        <w:rPr>
          <w:b w:val="1"/>
          <w:sz w:val="26"/>
          <w:szCs w:val="26"/>
          <w:rtl w:val="0"/>
        </w:rPr>
        <w:t xml:space="preserve">10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Processo nº </w:t>
      </w:r>
      <w:r w:rsidDel="00000000" w:rsidR="00000000" w:rsidRPr="00000000">
        <w:rPr>
          <w:b w:val="1"/>
          <w:sz w:val="26"/>
          <w:szCs w:val="26"/>
          <w:rtl w:val="0"/>
        </w:rPr>
        <w:t xml:space="preserve">12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Autor: Orivaldo Aparecido Magalhães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I. Exposição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 senhor Vereador Orivaldo Aparecido Magalhães inicia nesta Casa de Leis  processo legislativo com o Projeto de Lei n° 10 de 2022, que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“</w:t>
      </w:r>
      <w:r w:rsidDel="00000000" w:rsidR="00000000" w:rsidRPr="00000000">
        <w:rPr>
          <w:b w:val="1"/>
          <w:sz w:val="26"/>
          <w:szCs w:val="26"/>
          <w:rtl w:val="0"/>
        </w:rPr>
        <w:t xml:space="preserve">Dispõe sobre o apoio e inserção, às pessoas Portadoras de Deficiência Audiovisual em eventos esportivos, culturais oficiais realizados no Município, e dá outras providências".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 projeto visa estabelecer normas gerais para a garantia de direitos das pessoas com deficiência, bem como ações governamentais que promovam a inclusão dessas pessoas em eventos oficiais.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II. Do mérito e conclusões do relator</w:t>
      </w: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Inicialmente a Comissão de Justiça e Redação requereu análise da SGP - Soluções em Gestão Pública - para avaliação do Projeto de Lei ora analisado, através da CONSULTA/0192/2022/MN/G, resultando em parecer pela rejeição da Propositura pelas comissões legislativas e pelo plenário da Câmara Municipal.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Trata-se de um assunto j</w:t>
      </w:r>
      <w:r w:rsidDel="00000000" w:rsidR="00000000" w:rsidRPr="00000000">
        <w:rPr>
          <w:sz w:val="26"/>
          <w:szCs w:val="26"/>
          <w:rtl w:val="0"/>
        </w:rPr>
        <w:t xml:space="preserve">á consolidado pela Lei Federal n° 13.146/2015 (Estatuto da Pessoa com Deficiência) que dispõe em seus artigos 42 e 43 sobre a garantia de direitos à cultura, ao esporte, turismo e ao lazer à pessoa com deficiência:</w:t>
      </w:r>
    </w:p>
    <w:p w:rsidR="00000000" w:rsidDel="00000000" w:rsidP="00000000" w:rsidRDefault="00000000" w:rsidRPr="00000000" w14:paraId="00000011">
      <w:pPr>
        <w:spacing w:after="200" w:before="200" w:line="240" w:lineRule="auto"/>
        <w:ind w:left="2880" w:firstLine="52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Art. 42. A pessoa com deficiência tem direito à cultura, ao esporte, ao turismo e ao lazer em igualdade de oportunidades com as demais pessoas, sendo-lhe garantido o acesso:</w:t>
      </w:r>
    </w:p>
    <w:p w:rsidR="00000000" w:rsidDel="00000000" w:rsidP="00000000" w:rsidRDefault="00000000" w:rsidRPr="00000000" w14:paraId="00000012">
      <w:pPr>
        <w:spacing w:after="200" w:before="200" w:line="240" w:lineRule="auto"/>
        <w:ind w:left="2880" w:firstLine="52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- a bens culturais em formato acessível;</w:t>
      </w:r>
    </w:p>
    <w:p w:rsidR="00000000" w:rsidDel="00000000" w:rsidP="00000000" w:rsidRDefault="00000000" w:rsidRPr="00000000" w14:paraId="00000013">
      <w:pPr>
        <w:spacing w:after="200" w:before="200" w:line="240" w:lineRule="auto"/>
        <w:ind w:left="2880" w:firstLine="52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II - a programas de televisão, cinema, teatro e outras atividades culturais e desportivas em formato acessível; e</w:t>
      </w:r>
    </w:p>
    <w:p w:rsidR="00000000" w:rsidDel="00000000" w:rsidP="00000000" w:rsidRDefault="00000000" w:rsidRPr="00000000" w14:paraId="00000014">
      <w:pPr>
        <w:spacing w:after="200" w:before="200" w:line="240" w:lineRule="auto"/>
        <w:ind w:left="2880" w:firstLine="52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III - a monumentos e locais de importância cultural e a espaços que ofereçam serviços ou eventos culturais e esportivos.</w:t>
      </w:r>
    </w:p>
    <w:p w:rsidR="00000000" w:rsidDel="00000000" w:rsidP="00000000" w:rsidRDefault="00000000" w:rsidRPr="00000000" w14:paraId="00000015">
      <w:pPr>
        <w:spacing w:after="200" w:before="200" w:line="240" w:lineRule="auto"/>
        <w:ind w:left="2880" w:firstLine="52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§ 1º É vedada a recusa de oferta de obra intelectual em formato acessível à pessoa com deficiência, sob qualquer argumento, inclusive sob a alegação de proteção dos direitos de propriedade intelectual.</w:t>
      </w:r>
    </w:p>
    <w:p w:rsidR="00000000" w:rsidDel="00000000" w:rsidP="00000000" w:rsidRDefault="00000000" w:rsidRPr="00000000" w14:paraId="00000016">
      <w:pPr>
        <w:spacing w:after="200" w:before="200" w:line="240" w:lineRule="auto"/>
        <w:ind w:left="2880" w:firstLine="52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§ 2º O poder público deve adotar soluções destinadas à eliminação, à redução ou à superação de barreiras para a promoção do acesso a todo patrimônio cultural, observadas as normas de acessibilidade, ambientais e de proteção do patrimônio histórico e artístico nacional.</w:t>
      </w:r>
    </w:p>
    <w:p w:rsidR="00000000" w:rsidDel="00000000" w:rsidP="00000000" w:rsidRDefault="00000000" w:rsidRPr="00000000" w14:paraId="00000017">
      <w:pPr>
        <w:spacing w:after="200" w:before="200" w:line="240" w:lineRule="auto"/>
        <w:ind w:left="2880" w:firstLine="52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Art. 43. O poder público deve promover a participação da pessoa com deficiência em atividades artísticas, intelectuais, culturais, esportivas e recreativas, com vistas ao seu protagonismo, devendo:</w:t>
      </w:r>
    </w:p>
    <w:p w:rsidR="00000000" w:rsidDel="00000000" w:rsidP="00000000" w:rsidRDefault="00000000" w:rsidRPr="00000000" w14:paraId="00000018">
      <w:pPr>
        <w:spacing w:after="200" w:before="200" w:line="240" w:lineRule="auto"/>
        <w:ind w:left="2880" w:firstLine="52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 - incentivar a provisão de instrução, de treinamento e de recursos adequados, em igualdade de oportunidades com as demais pessoas;</w:t>
      </w:r>
    </w:p>
    <w:p w:rsidR="00000000" w:rsidDel="00000000" w:rsidP="00000000" w:rsidRDefault="00000000" w:rsidRPr="00000000" w14:paraId="00000019">
      <w:pPr>
        <w:spacing w:after="200" w:before="200" w:line="240" w:lineRule="auto"/>
        <w:ind w:left="2880" w:firstLine="52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II - assegurar acessibilidade nos locais de eventos e nos serviços prestados por pessoa ou entidade envolvida na organização das atividades de que trata este artigo; e</w:t>
      </w:r>
    </w:p>
    <w:p w:rsidR="00000000" w:rsidDel="00000000" w:rsidP="00000000" w:rsidRDefault="00000000" w:rsidRPr="00000000" w14:paraId="0000001A">
      <w:pPr>
        <w:spacing w:after="200" w:before="200" w:line="240" w:lineRule="auto"/>
        <w:ind w:left="2880" w:firstLine="520"/>
        <w:jc w:val="both"/>
        <w:rPr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III - assegurar a participação da pessoa com deficiência em jogos e atividades recreativas, esportivas, de lazer, culturais e artísticas, inclusive no sistema escolar, em igualdade de condições com as demais pessoas.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Entretanto, entendemos que a Propositura em análise tem abrangência ainda não prevista de forma clara pelo mencionado Estatuto da Pessoa com Deficiência, que aborda o tema de forma geral. O Projeto de Lei em epígrafe trata de normas gerais para a garantia de direitos das pessoas com deficiência, em especial, deficiência audiovisual, com a criação de mecanismos para o acesso dessas pessoas em eventos oficiais do Município, garantindo assim o direito previsto na retromencionada Lei n° 13.146/2015 seja exercido.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Neste sentido, reconhecemos que a proposta do autor  detém a competência legislativa do município de suplementar a legislação federal, delegada pelo inciso II do artigo 30 da Constituição Federal, bem como o seu inciso I, que dispõe sobre a competência municipal em legislar sobre o interesse local.</w:t>
      </w:r>
    </w:p>
    <w:p w:rsidR="00000000" w:rsidDel="00000000" w:rsidP="00000000" w:rsidRDefault="00000000" w:rsidRPr="00000000" w14:paraId="0000001D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 fim e no tocante ao aspecto gramatical e lógico, verifica-se que houve respeito às regras ortográficas e técnica legislativa, não havendo apontamentos neste sentido.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i w:val="1"/>
          <w:sz w:val="26"/>
          <w:szCs w:val="26"/>
          <w:highlight w:val="white"/>
          <w:rtl w:val="0"/>
        </w:rPr>
        <w:tab/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Dessa forma, considerando os pontos mencionados, entendemos não haver óbice para a continuidade do Projeto de Lei n° 10 de 2022, de autoria do Vereador Orivaldo Aparecido Magalhães.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III. Substitutivos, Emendas ou subemendas ao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  <w:tab/>
        <w:t xml:space="preserve">O Relator não propõe qualquer alteração ao Projeto de Lei sob análise.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IV. Decisão do Relator.</w:t>
      </w:r>
    </w:p>
    <w:p w:rsidR="00000000" w:rsidDel="00000000" w:rsidP="00000000" w:rsidRDefault="00000000" w:rsidRPr="00000000" w14:paraId="00000024">
      <w:pPr>
        <w:ind w:firstLine="720"/>
        <w:jc w:val="both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Portanto, diante do exposto, esta relatoria considera que a presente propositura não apresenta vícios de constitucionalidade, recebendo assim parecer </w:t>
      </w:r>
      <w:r w:rsidDel="00000000" w:rsidR="00000000" w:rsidRPr="00000000">
        <w:rPr>
          <w:b w:val="1"/>
          <w:sz w:val="26"/>
          <w:szCs w:val="26"/>
          <w:rtl w:val="0"/>
        </w:rPr>
        <w:t xml:space="preserve">FAVORÁVEL.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VEREADOR 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Presidente /relator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PARECER N.º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    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/2022 DA COMISSÃO DE JUSTIÇA E REDAÇÃO</w:t>
      </w:r>
      <w:r w:rsidDel="00000000" w:rsidR="00000000" w:rsidRPr="00000000">
        <w:rPr>
          <w:b w:val="1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720"/>
        <w:jc w:val="both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Seguindo o Voto exarado pelo Relator e conforme determina o artigo 35</w:t>
      </w:r>
      <w:r w:rsidDel="00000000" w:rsidR="00000000" w:rsidRPr="00000000">
        <w:rPr>
          <w:sz w:val="26"/>
          <w:szCs w:val="26"/>
          <w:rtl w:val="0"/>
        </w:rPr>
        <w:t xml:space="preserve"> da Resolução n°  276 de 09 de novembro de 2010, Regimento Interno da Câmara Municipal de Mogi Mirim, a Comissão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de Justiça e Redação</w:t>
      </w:r>
      <w:r w:rsidDel="00000000" w:rsidR="00000000" w:rsidRPr="00000000">
        <w:rPr>
          <w:sz w:val="26"/>
          <w:szCs w:val="26"/>
          <w:rtl w:val="0"/>
        </w:rPr>
        <w:t xml:space="preserve"> formaliza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o presente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PARECER FAVORÁVEL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ao Projeto de Lei </w:t>
      </w:r>
      <w:r w:rsidDel="00000000" w:rsidR="00000000" w:rsidRPr="00000000">
        <w:rPr>
          <w:sz w:val="26"/>
          <w:szCs w:val="26"/>
          <w:rtl w:val="0"/>
        </w:rPr>
        <w:t xml:space="preserve">n° 10 de 2022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Sala das Comissões, em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05</w:t>
      </w: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 de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 outubro </w:t>
      </w: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u w:val="single"/>
          <w:rtl w:val="0"/>
        </w:rPr>
        <w:t xml:space="preserve">COMISSÃO DE JUSTIÇA E REDAÇÃO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39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VEREADOR JOÃO VICTOR GASPARINI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color w:val="000000"/>
          <w:sz w:val="26"/>
          <w:szCs w:val="26"/>
          <w:highlight w:val="white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Presidente / RELATOR</w:t>
      </w:r>
    </w:p>
    <w:p w:rsidR="00000000" w:rsidDel="00000000" w:rsidP="00000000" w:rsidRDefault="00000000" w:rsidRPr="00000000" w14:paraId="0000003E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VEREADORA MARA CRISTINA CHOQUETTA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47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VEREADORA DR. LÚCIA MARIA FERREIRA TENÓRIO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Membro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0" w:lineRule="auto"/>
        <w:jc w:val="left"/>
        <w:rPr>
          <w:b w:val="1"/>
          <w:sz w:val="26"/>
          <w:szCs w:val="26"/>
          <w:highlight w:val="white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pgSz w:h="16840" w:w="11907" w:orient="portrait"/>
      <w:pgMar w:bottom="1701" w:top="2268" w:left="1418" w:right="13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Dr. José Alves, 129 - Centro - Fone : (019) 3814.1200 - Fax: (019) 3814.1206 – Mogi Mirim - SP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38225" cy="752475"/>
          <wp:effectExtent b="0" l="0" r="0" t="0"/>
          <wp:docPr descr="brasaomm" id="1" name="image1.jpg"/>
          <a:graphic>
            <a:graphicData uri="http://schemas.openxmlformats.org/drawingml/2006/picture">
              <pic:pic>
                <pic:nvPicPr>
                  <pic:cNvPr descr="brasaomm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  <w:rtl w:val="0"/>
      </w:rPr>
      <w:t xml:space="preserve">CÂMARA MUNICIPAL DE MOGI MIRIM</w:t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7513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São Paulo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