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RELATÓRIO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Projeto de Lei n.º </w:t>
      </w:r>
      <w:r w:rsidDel="00000000" w:rsidR="00000000" w:rsidRPr="00000000">
        <w:rPr>
          <w:b w:val="1"/>
          <w:sz w:val="26"/>
          <w:szCs w:val="26"/>
          <w:rtl w:val="0"/>
        </w:rPr>
        <w:t xml:space="preserve">165</w:t>
      </w:r>
      <w:r w:rsidDel="00000000" w:rsidR="00000000" w:rsidRPr="00000000">
        <w:rPr>
          <w:b w:val="1"/>
          <w:i w:val="0"/>
          <w:smallCaps w:val="0"/>
          <w:strike w:val="0"/>
          <w:color w:val="000000"/>
          <w:sz w:val="26"/>
          <w:szCs w:val="26"/>
          <w:u w:val="none"/>
          <w:shd w:fill="auto" w:val="clear"/>
          <w:vertAlign w:val="baseline"/>
          <w:rtl w:val="0"/>
        </w:rPr>
        <w:t xml:space="preserve"> de 202</w:t>
      </w:r>
      <w:r w:rsidDel="00000000" w:rsidR="00000000" w:rsidRPr="00000000">
        <w:rPr>
          <w:b w:val="1"/>
          <w:sz w:val="26"/>
          <w:szCs w:val="26"/>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Processo nº </w:t>
      </w:r>
      <w:r w:rsidDel="00000000" w:rsidR="00000000" w:rsidRPr="00000000">
        <w:rPr>
          <w:b w:val="1"/>
          <w:sz w:val="26"/>
          <w:szCs w:val="26"/>
          <w:rtl w:val="0"/>
        </w:rPr>
        <w:t xml:space="preserve">222</w:t>
      </w:r>
      <w:r w:rsidDel="00000000" w:rsidR="00000000" w:rsidRPr="00000000">
        <w:rPr>
          <w:b w:val="1"/>
          <w:i w:val="0"/>
          <w:smallCaps w:val="0"/>
          <w:strike w:val="0"/>
          <w:color w:val="000000"/>
          <w:sz w:val="26"/>
          <w:szCs w:val="26"/>
          <w:u w:val="none"/>
          <w:shd w:fill="auto" w:val="clear"/>
          <w:vertAlign w:val="baseline"/>
          <w:rtl w:val="0"/>
        </w:rPr>
        <w:t xml:space="preserve"> de 202</w:t>
      </w:r>
      <w:r w:rsidDel="00000000" w:rsidR="00000000" w:rsidRPr="00000000">
        <w:rPr>
          <w:b w:val="1"/>
          <w:sz w:val="26"/>
          <w:szCs w:val="26"/>
          <w:rtl w:val="0"/>
        </w:rPr>
        <w:t xml:space="preserve">1</w:t>
      </w:r>
      <w:r w:rsidDel="00000000" w:rsidR="00000000" w:rsidRPr="00000000">
        <w:rPr>
          <w:rtl w:val="0"/>
        </w:rPr>
      </w:r>
    </w:p>
    <w:p w:rsidR="00000000" w:rsidDel="00000000" w:rsidP="00000000" w:rsidRDefault="00000000" w:rsidRPr="00000000" w14:paraId="00000007">
      <w:pPr>
        <w:spacing w:line="240" w:lineRule="auto"/>
        <w:jc w:val="both"/>
        <w:rPr>
          <w:b w:val="1"/>
          <w:sz w:val="26"/>
          <w:szCs w:val="26"/>
        </w:rPr>
      </w:pPr>
      <w:r w:rsidDel="00000000" w:rsidR="00000000" w:rsidRPr="00000000">
        <w:rPr>
          <w:b w:val="1"/>
          <w:sz w:val="26"/>
          <w:szCs w:val="26"/>
          <w:rtl w:val="0"/>
        </w:rPr>
        <w:t xml:space="preserve">Autora: Vereadora Sonia Regina Rodrigues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6"/>
          <w:szCs w:val="26"/>
        </w:rPr>
      </w:pPr>
      <w:r w:rsidDel="00000000" w:rsidR="00000000" w:rsidRPr="00000000">
        <w:rPr>
          <w:b w:val="1"/>
          <w:i w:val="0"/>
          <w:smallCaps w:val="0"/>
          <w:strike w:val="0"/>
          <w:color w:val="000000"/>
          <w:sz w:val="26"/>
          <w:szCs w:val="26"/>
          <w:u w:val="none"/>
          <w:shd w:fill="auto" w:val="clear"/>
          <w:vertAlign w:val="baseline"/>
          <w:rtl w:val="0"/>
        </w:rPr>
        <w:t xml:space="preserve">I. Exposição da Matéria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6"/>
          <w:szCs w:val="26"/>
        </w:rPr>
      </w:pPr>
      <w:r w:rsidDel="00000000" w:rsidR="00000000" w:rsidRPr="00000000">
        <w:rPr>
          <w:rtl w:val="0"/>
        </w:rPr>
      </w:r>
    </w:p>
    <w:p w:rsidR="00000000" w:rsidDel="00000000" w:rsidP="00000000" w:rsidRDefault="00000000" w:rsidRPr="00000000" w14:paraId="0000000B">
      <w:pPr>
        <w:spacing w:line="276" w:lineRule="auto"/>
        <w:ind w:firstLine="709"/>
        <w:jc w:val="both"/>
        <w:rPr>
          <w:sz w:val="26"/>
          <w:szCs w:val="26"/>
        </w:rPr>
      </w:pPr>
      <w:r w:rsidDel="00000000" w:rsidR="00000000" w:rsidRPr="00000000">
        <w:rPr>
          <w:sz w:val="26"/>
          <w:szCs w:val="26"/>
          <w:rtl w:val="0"/>
        </w:rPr>
        <w:t xml:space="preserve">De iniciativa da Vereadora Sonia Regina Rodrigues o Projeto de Lei n° 165 de 2022 dispõe sobre a </w:t>
      </w:r>
      <w:r w:rsidDel="00000000" w:rsidR="00000000" w:rsidRPr="00000000">
        <w:rPr>
          <w:b w:val="1"/>
          <w:color w:val="000000"/>
          <w:sz w:val="26"/>
          <w:szCs w:val="26"/>
          <w:rtl w:val="0"/>
        </w:rPr>
        <w:t xml:space="preserve">“</w:t>
      </w:r>
      <w:r w:rsidDel="00000000" w:rsidR="00000000" w:rsidRPr="00000000">
        <w:rPr>
          <w:b w:val="1"/>
          <w:sz w:val="26"/>
          <w:szCs w:val="26"/>
          <w:rtl w:val="0"/>
        </w:rPr>
        <w:t xml:space="preserve">Instituição do Programa ‘Emprega Mulher’, destinado à capacitação profissional e geração de emprego a mulheres chefes de família, em situação de vulnerabilidade social e em situação de violência doméstica, no âmbito  do Município de Mogi Mirim, e dá outras providências". </w:t>
      </w:r>
      <w:r w:rsidDel="00000000" w:rsidR="00000000" w:rsidRPr="00000000">
        <w:rPr>
          <w:rtl w:val="0"/>
        </w:rPr>
      </w:r>
    </w:p>
    <w:p w:rsidR="00000000" w:rsidDel="00000000" w:rsidP="00000000" w:rsidRDefault="00000000" w:rsidRPr="00000000" w14:paraId="0000000C">
      <w:pPr>
        <w:spacing w:line="276" w:lineRule="auto"/>
        <w:ind w:firstLine="709"/>
        <w:jc w:val="both"/>
        <w:rPr>
          <w:sz w:val="26"/>
          <w:szCs w:val="26"/>
        </w:rPr>
      </w:pPr>
      <w:r w:rsidDel="00000000" w:rsidR="00000000" w:rsidRPr="00000000">
        <w:rPr>
          <w:sz w:val="26"/>
          <w:szCs w:val="26"/>
          <w:rtl w:val="0"/>
        </w:rPr>
        <w:t xml:space="preserve">O objetivo da Propositura em análise é instituir um programa a fim de desenvolver e fortalecer ações voltadas à promoção da autonomia financeira de mulheres chefes de família, residentes em Mogi Mirim, em situação de vulnerabilidade social e em situação de violência doméstica, promovendo medidas de qualificação profissional, de geração de emprego e renda e de inserção no mercado de trabalho. </w:t>
      </w:r>
      <w:r w:rsidDel="00000000" w:rsidR="00000000" w:rsidRPr="00000000">
        <w:rPr>
          <w:rtl w:val="0"/>
        </w:rPr>
      </w:r>
    </w:p>
    <w:p w:rsidR="00000000" w:rsidDel="00000000" w:rsidP="00000000" w:rsidRDefault="00000000" w:rsidRPr="00000000" w14:paraId="0000000D">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II. Do mérito e conclusões do relator</w:t>
      </w:r>
      <w:r w:rsidDel="00000000" w:rsidR="00000000" w:rsidRPr="00000000">
        <w:rPr>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sz w:val="26"/>
          <w:szCs w:val="26"/>
          <w:rtl w:val="0"/>
        </w:rPr>
        <w:tab/>
        <w:t xml:space="preserve">Inicialmente, ressaltamos que a Comissão de Justiça e Redação requereu à SGP - Soluções em Gestão Pública - parecer técnico-jurídico da Propositura, resultando na CONSULTA/0586/2021/JG/G, anexa ao processo do Projeto de Lei, a qual exarou apontamentos sobre o Projeto, dos quais discorreremos neste relatório.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sz w:val="26"/>
          <w:szCs w:val="26"/>
          <w:rtl w:val="0"/>
        </w:rPr>
        <w:tab/>
        <w:t xml:space="preserve">Com relação à legalidade da matéria, trata-se de assunto que se enquadra nas competências legislativas do Município, conforme determina o artigo 30, inciso I da Constituição Federal, legislando sobre assuntos de interesse local. Do mesmo modo, a Constituição garante aos Municípios brasileiros o poder de exercitar plenamente a competência legislativa de suplementar as legislações estadual e federal, naquilo que for cabível e disser respeito ao interesse local (inc. II do art. 30 da CF).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sz w:val="26"/>
          <w:szCs w:val="26"/>
          <w:rtl w:val="0"/>
        </w:rPr>
        <w:tab/>
        <w:t xml:space="preserve">Neste mesmo sentido, a Lei Orgânica do Município, em seu artigo 12, inciso I e II, dispõe sobre a competência municipal em prover ações que digam respeito ao seu peculiar interesse: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jc w:val="both"/>
        <w:rPr>
          <w:i w:val="1"/>
          <w:sz w:val="26"/>
          <w:szCs w:val="26"/>
        </w:rPr>
      </w:pPr>
      <w:r w:rsidDel="00000000" w:rsidR="00000000" w:rsidRPr="00000000">
        <w:rPr>
          <w:i w:val="1"/>
          <w:sz w:val="26"/>
          <w:szCs w:val="26"/>
          <w:rtl w:val="0"/>
        </w:rPr>
        <w:t xml:space="preserve">“Art. 12. Ao Município compete prover tudo quanto diga respeito ao seu peculiar interesse e ao bem-estar de sua população, cabendo-lhe, privativamente, dentre outras, as seguintes atribuições: </w:t>
      </w:r>
    </w:p>
    <w:p w:rsidR="00000000" w:rsidDel="00000000" w:rsidP="00000000" w:rsidRDefault="00000000" w:rsidRPr="00000000" w14:paraId="00000014">
      <w:pPr>
        <w:spacing w:line="276" w:lineRule="auto"/>
        <w:ind w:left="3600" w:firstLine="720"/>
        <w:jc w:val="both"/>
        <w:rPr>
          <w:i w:val="1"/>
          <w:sz w:val="26"/>
          <w:szCs w:val="26"/>
        </w:rPr>
      </w:pPr>
      <w:r w:rsidDel="00000000" w:rsidR="00000000" w:rsidRPr="00000000">
        <w:rPr>
          <w:i w:val="1"/>
          <w:sz w:val="26"/>
          <w:szCs w:val="26"/>
          <w:rtl w:val="0"/>
        </w:rPr>
        <w:t xml:space="preserve">I – legislar sobre assuntos de interesse local, na área urbana e rural; </w:t>
      </w:r>
    </w:p>
    <w:p w:rsidR="00000000" w:rsidDel="00000000" w:rsidP="00000000" w:rsidRDefault="00000000" w:rsidRPr="00000000" w14:paraId="00000015">
      <w:pPr>
        <w:spacing w:line="276" w:lineRule="auto"/>
        <w:ind w:left="3600" w:firstLine="720"/>
        <w:jc w:val="both"/>
        <w:rPr>
          <w:i w:val="1"/>
          <w:sz w:val="26"/>
          <w:szCs w:val="26"/>
        </w:rPr>
      </w:pPr>
      <w:r w:rsidDel="00000000" w:rsidR="00000000" w:rsidRPr="00000000">
        <w:rPr>
          <w:i w:val="1"/>
          <w:sz w:val="26"/>
          <w:szCs w:val="26"/>
          <w:rtl w:val="0"/>
        </w:rPr>
        <w:t xml:space="preserve">II – suplementar a legislação Federal e a Estadual, no que couber;”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17">
      <w:pPr>
        <w:spacing w:line="276" w:lineRule="auto"/>
        <w:ind w:firstLine="709"/>
        <w:jc w:val="both"/>
        <w:rPr>
          <w:sz w:val="26"/>
          <w:szCs w:val="26"/>
        </w:rPr>
      </w:pPr>
      <w:r w:rsidDel="00000000" w:rsidR="00000000" w:rsidRPr="00000000">
        <w:rPr>
          <w:sz w:val="26"/>
          <w:szCs w:val="26"/>
          <w:rtl w:val="0"/>
        </w:rPr>
        <w:t xml:space="preserve">Com relação à iniciativa do projeto, de origem parlamentar, visando instituir um programa de incentivo à capacitação profissional para mulheres em situação de vulnerabilidade social, entendemos que, além de nobre, se enquadra como iniciativa concorrente, uma vez que a matéria não está inserida no rol de iniciativas privativas dos chefes dos Poderes Executivo Federal, Estadual e Municipal. </w:t>
      </w:r>
    </w:p>
    <w:p w:rsidR="00000000" w:rsidDel="00000000" w:rsidP="00000000" w:rsidRDefault="00000000" w:rsidRPr="00000000" w14:paraId="00000018">
      <w:pPr>
        <w:spacing w:line="276" w:lineRule="auto"/>
        <w:ind w:firstLine="709"/>
        <w:jc w:val="both"/>
        <w:rPr>
          <w:sz w:val="26"/>
          <w:szCs w:val="26"/>
        </w:rPr>
      </w:pPr>
      <w:r w:rsidDel="00000000" w:rsidR="00000000" w:rsidRPr="00000000">
        <w:rPr>
          <w:sz w:val="26"/>
          <w:szCs w:val="26"/>
          <w:rtl w:val="0"/>
        </w:rPr>
        <w:t xml:space="preserve">Entretanto, como assim orientou o parecer técnico da SGP, o artigo 5° do Projeto de Lei em análise dá a atribuição de regulamentar a lei ao Poder Executivo. Neste caso, entendemos que este dispositivo afronta o princípio de separação de poderes, uma vez que impõe uma obrigação de regulamentação ao Prefeito Municipal, indo de encontro ao inciso II do artigo 84 da Constituição Federal e inciso II do artigo 71 da Lei Orgânica do Município. </w:t>
      </w:r>
    </w:p>
    <w:p w:rsidR="00000000" w:rsidDel="00000000" w:rsidP="00000000" w:rsidRDefault="00000000" w:rsidRPr="00000000" w14:paraId="00000019">
      <w:pPr>
        <w:spacing w:line="276" w:lineRule="auto"/>
        <w:ind w:firstLine="709"/>
        <w:jc w:val="both"/>
        <w:rPr>
          <w:sz w:val="26"/>
          <w:szCs w:val="26"/>
        </w:rPr>
      </w:pPr>
      <w:r w:rsidDel="00000000" w:rsidR="00000000" w:rsidRPr="00000000">
        <w:rPr>
          <w:sz w:val="26"/>
          <w:szCs w:val="26"/>
          <w:rtl w:val="0"/>
        </w:rPr>
        <w:t xml:space="preserve">Do mesmo modo, o inciso XII do artigo 3° contém aparente vício de iniciativa, uma vez que dispõe sobre a celebração de convênio entre o poder público e a iniciativa privada. Entendemos que esta redação não pode ser aprovada pela Comissão e pelo Plenário desta Câmara Municipal, pois este dispositivo vai de encontro ao inciso XXXVII do artigo 71 da Lei Orgânica do Município, que dá exclusividade ao Prefeito Municipal de propor convênios e parcerias público-privadas.</w:t>
      </w:r>
    </w:p>
    <w:p w:rsidR="00000000" w:rsidDel="00000000" w:rsidP="00000000" w:rsidRDefault="00000000" w:rsidRPr="00000000" w14:paraId="0000001A">
      <w:pPr>
        <w:spacing w:line="276" w:lineRule="auto"/>
        <w:ind w:firstLine="709"/>
        <w:jc w:val="both"/>
        <w:rPr>
          <w:sz w:val="26"/>
          <w:szCs w:val="26"/>
        </w:rPr>
      </w:pPr>
      <w:r w:rsidDel="00000000" w:rsidR="00000000" w:rsidRPr="00000000">
        <w:rPr>
          <w:sz w:val="26"/>
          <w:szCs w:val="26"/>
          <w:rtl w:val="0"/>
        </w:rPr>
        <w:t xml:space="preserve">Dessa forma, o este relator propõe uma emenda supressiva ao artigo 5° e ao inciso XII do artigo 3° da Propositura em análise, para adequar a sua redação e retirar o vício de iniciativa inconstitucional contido no mesmo. </w:t>
      </w:r>
    </w:p>
    <w:p w:rsidR="00000000" w:rsidDel="00000000" w:rsidP="00000000" w:rsidRDefault="00000000" w:rsidRPr="00000000" w14:paraId="0000001B">
      <w:pPr>
        <w:spacing w:line="276" w:lineRule="auto"/>
        <w:ind w:left="0" w:firstLine="720"/>
        <w:jc w:val="both"/>
        <w:rPr>
          <w:sz w:val="26"/>
          <w:szCs w:val="26"/>
        </w:rPr>
      </w:pPr>
      <w:r w:rsidDel="00000000" w:rsidR="00000000" w:rsidRPr="00000000">
        <w:rPr>
          <w:sz w:val="26"/>
          <w:szCs w:val="26"/>
          <w:rtl w:val="0"/>
        </w:rPr>
        <w:t xml:space="preserve">Em relação ao aspecto gramatical e lógico, a Comissão não identificou irregularidades, exceto na redação do inciso VI do artigo 3°, que contém a palavra “mulheres” escrita 2 vezes seguidas, necessitando assim de correção.</w:t>
      </w:r>
    </w:p>
    <w:p w:rsidR="00000000" w:rsidDel="00000000" w:rsidP="00000000" w:rsidRDefault="00000000" w:rsidRPr="00000000" w14:paraId="0000001C">
      <w:pPr>
        <w:spacing w:line="276" w:lineRule="auto"/>
        <w:ind w:firstLine="720"/>
        <w:jc w:val="both"/>
        <w:rPr>
          <w:sz w:val="26"/>
          <w:szCs w:val="26"/>
        </w:rPr>
      </w:pPr>
      <w:r w:rsidDel="00000000" w:rsidR="00000000" w:rsidRPr="00000000">
        <w:rPr>
          <w:sz w:val="26"/>
          <w:szCs w:val="26"/>
          <w:rtl w:val="0"/>
        </w:rPr>
        <w:t xml:space="preserve">Assim sendo, não se vislumbra irregularidades no Projeto de Lei em análise, motivo pelo qual a Comissão de Justiça e Redação não se opõe à continuidade da proposta apresentada pela vereadora.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line="276" w:lineRule="auto"/>
        <w:jc w:val="both"/>
        <w:rPr>
          <w:b w:val="1"/>
          <w:sz w:val="26"/>
          <w:szCs w:val="26"/>
        </w:rPr>
      </w:pPr>
      <w:r w:rsidDel="00000000" w:rsidR="00000000" w:rsidRPr="00000000">
        <w:rPr>
          <w:b w:val="1"/>
          <w:sz w:val="26"/>
          <w:szCs w:val="26"/>
          <w:rtl w:val="0"/>
        </w:rPr>
        <w:t xml:space="preserve">III. Substitutivos, Emendas ou subemendas ao Projeto</w:t>
      </w:r>
    </w:p>
    <w:p w:rsidR="00000000" w:rsidDel="00000000" w:rsidP="00000000" w:rsidRDefault="00000000" w:rsidRPr="00000000" w14:paraId="0000001F">
      <w:pPr>
        <w:spacing w:line="276" w:lineRule="auto"/>
        <w:jc w:val="both"/>
        <w:rPr>
          <w:sz w:val="26"/>
          <w:szCs w:val="26"/>
        </w:rPr>
      </w:pPr>
      <w:r w:rsidDel="00000000" w:rsidR="00000000" w:rsidRPr="00000000">
        <w:rPr>
          <w:rtl w:val="0"/>
        </w:rPr>
      </w:r>
    </w:p>
    <w:p w:rsidR="00000000" w:rsidDel="00000000" w:rsidP="00000000" w:rsidRDefault="00000000" w:rsidRPr="00000000" w14:paraId="00000020">
      <w:pPr>
        <w:spacing w:line="276" w:lineRule="auto"/>
        <w:jc w:val="both"/>
        <w:rPr>
          <w:sz w:val="26"/>
          <w:szCs w:val="26"/>
        </w:rPr>
      </w:pPr>
      <w:r w:rsidDel="00000000" w:rsidR="00000000" w:rsidRPr="00000000">
        <w:rPr>
          <w:sz w:val="26"/>
          <w:szCs w:val="26"/>
          <w:rtl w:val="0"/>
        </w:rPr>
        <w:t xml:space="preserve"> </w:t>
        <w:tab/>
        <w:t xml:space="preserve">O Relator propõe uma emenda supressiva ao artigo 5° e ao inciso VI do artigo 3° do Projeto de Lei n° 165 de 2021.</w:t>
      </w:r>
    </w:p>
    <w:p w:rsidR="00000000" w:rsidDel="00000000" w:rsidP="00000000" w:rsidRDefault="00000000" w:rsidRPr="00000000" w14:paraId="00000021">
      <w:pPr>
        <w:spacing w:line="276" w:lineRule="auto"/>
        <w:jc w:val="both"/>
        <w:rPr>
          <w:sz w:val="26"/>
          <w:szCs w:val="26"/>
        </w:rPr>
      </w:pPr>
      <w:r w:rsidDel="00000000" w:rsidR="00000000" w:rsidRPr="00000000">
        <w:rPr>
          <w:rtl w:val="0"/>
        </w:rPr>
      </w:r>
    </w:p>
    <w:p w:rsidR="00000000" w:rsidDel="00000000" w:rsidP="00000000" w:rsidRDefault="00000000" w:rsidRPr="00000000" w14:paraId="00000022">
      <w:pPr>
        <w:spacing w:line="276" w:lineRule="auto"/>
        <w:jc w:val="both"/>
        <w:rPr>
          <w:b w:val="1"/>
          <w:sz w:val="26"/>
          <w:szCs w:val="26"/>
        </w:rPr>
      </w:pPr>
      <w:r w:rsidDel="00000000" w:rsidR="00000000" w:rsidRPr="00000000">
        <w:rPr>
          <w:b w:val="1"/>
          <w:sz w:val="26"/>
          <w:szCs w:val="26"/>
          <w:rtl w:val="0"/>
        </w:rPr>
        <w:t xml:space="preserve">IV. Decisão do Relator.</w:t>
      </w:r>
    </w:p>
    <w:p w:rsidR="00000000" w:rsidDel="00000000" w:rsidP="00000000" w:rsidRDefault="00000000" w:rsidRPr="00000000" w14:paraId="00000023">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24">
      <w:pPr>
        <w:spacing w:line="276" w:lineRule="auto"/>
        <w:ind w:firstLine="720"/>
        <w:jc w:val="both"/>
        <w:rPr>
          <w:b w:val="1"/>
          <w:sz w:val="26"/>
          <w:szCs w:val="26"/>
        </w:rPr>
      </w:pPr>
      <w:r w:rsidDel="00000000" w:rsidR="00000000" w:rsidRPr="00000000">
        <w:rPr>
          <w:sz w:val="26"/>
          <w:szCs w:val="26"/>
          <w:rtl w:val="0"/>
        </w:rPr>
        <w:t xml:space="preserve">Portanto, diante do exposto, esta relatoria considera que a presente propositura apresenta vícios de constitucionalidade, recebendo assim parecer </w:t>
      </w:r>
      <w:r w:rsidDel="00000000" w:rsidR="00000000" w:rsidRPr="00000000">
        <w:rPr>
          <w:b w:val="1"/>
          <w:sz w:val="26"/>
          <w:szCs w:val="26"/>
          <w:rtl w:val="0"/>
        </w:rPr>
        <w:t xml:space="preserve">FAVORÁVEL.</w:t>
      </w:r>
    </w:p>
    <w:p w:rsidR="00000000" w:rsidDel="00000000" w:rsidP="00000000" w:rsidRDefault="00000000" w:rsidRPr="00000000" w14:paraId="00000025">
      <w:pPr>
        <w:spacing w:line="276" w:lineRule="auto"/>
        <w:jc w:val="left"/>
        <w:rPr>
          <w:b w:val="1"/>
          <w:sz w:val="26"/>
          <w:szCs w:val="26"/>
        </w:rPr>
      </w:pPr>
      <w:r w:rsidDel="00000000" w:rsidR="00000000" w:rsidRPr="00000000">
        <w:rPr>
          <w:rtl w:val="0"/>
        </w:rPr>
      </w:r>
    </w:p>
    <w:p w:rsidR="00000000" w:rsidDel="00000000" w:rsidP="00000000" w:rsidRDefault="00000000" w:rsidRPr="00000000" w14:paraId="00000026">
      <w:pPr>
        <w:spacing w:line="276" w:lineRule="auto"/>
        <w:jc w:val="left"/>
        <w:rPr>
          <w:b w:val="1"/>
          <w:sz w:val="26"/>
          <w:szCs w:val="26"/>
        </w:rPr>
      </w:pPr>
      <w:r w:rsidDel="00000000" w:rsidR="00000000" w:rsidRPr="00000000">
        <w:rPr>
          <w:rtl w:val="0"/>
        </w:rPr>
      </w:r>
    </w:p>
    <w:p w:rsidR="00000000" w:rsidDel="00000000" w:rsidP="00000000" w:rsidRDefault="00000000" w:rsidRPr="00000000" w14:paraId="00000027">
      <w:pPr>
        <w:spacing w:line="276" w:lineRule="auto"/>
        <w:jc w:val="left"/>
        <w:rPr>
          <w:b w:val="1"/>
          <w:sz w:val="26"/>
          <w:szCs w:val="26"/>
        </w:rPr>
      </w:pPr>
      <w:r w:rsidDel="00000000" w:rsidR="00000000" w:rsidRPr="00000000">
        <w:rPr>
          <w:rtl w:val="0"/>
        </w:rPr>
      </w:r>
    </w:p>
    <w:p w:rsidR="00000000" w:rsidDel="00000000" w:rsidP="00000000" w:rsidRDefault="00000000" w:rsidRPr="00000000" w14:paraId="00000028">
      <w:pPr>
        <w:spacing w:line="276" w:lineRule="auto"/>
        <w:jc w:val="left"/>
        <w:rPr>
          <w:b w:val="1"/>
          <w:sz w:val="26"/>
          <w:szCs w:val="26"/>
        </w:rPr>
      </w:pPr>
      <w:r w:rsidDel="00000000" w:rsidR="00000000" w:rsidRPr="00000000">
        <w:rPr>
          <w:rtl w:val="0"/>
        </w:rPr>
      </w:r>
    </w:p>
    <w:p w:rsidR="00000000" w:rsidDel="00000000" w:rsidP="00000000" w:rsidRDefault="00000000" w:rsidRPr="00000000" w14:paraId="00000029">
      <w:pPr>
        <w:spacing w:line="276" w:lineRule="auto"/>
        <w:jc w:val="left"/>
        <w:rPr>
          <w:b w:val="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6"/>
          <w:szCs w:val="26"/>
        </w:rPr>
      </w:pPr>
      <w:r w:rsidDel="00000000" w:rsidR="00000000" w:rsidRPr="00000000">
        <w:rPr>
          <w:b w:val="1"/>
          <w:i w:val="0"/>
          <w:smallCaps w:val="0"/>
          <w:strike w:val="0"/>
          <w:color w:val="000000"/>
          <w:sz w:val="26"/>
          <w:szCs w:val="26"/>
          <w:u w:val="none"/>
          <w:shd w:fill="auto" w:val="clear"/>
          <w:vertAlign w:val="baseline"/>
          <w:rtl w:val="0"/>
        </w:rPr>
        <w:t xml:space="preserve">VEREADOR </w:t>
      </w:r>
      <w:r w:rsidDel="00000000" w:rsidR="00000000" w:rsidRPr="00000000">
        <w:rPr>
          <w:b w:val="1"/>
          <w:sz w:val="26"/>
          <w:szCs w:val="26"/>
          <w:highlight w:val="white"/>
          <w:rtl w:val="0"/>
        </w:rPr>
        <w:t xml:space="preserve">JOÃO VICTOR GASPARINI</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Presidente /relator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2D">
      <w:pPr>
        <w:jc w:val="left"/>
        <w:rPr>
          <w:b w:val="1"/>
          <w:sz w:val="26"/>
          <w:szCs w:val="26"/>
        </w:rPr>
      </w:pPr>
      <w:r w:rsidDel="00000000" w:rsidR="00000000" w:rsidRPr="00000000">
        <w:rPr>
          <w:rtl w:val="0"/>
        </w:rPr>
      </w:r>
    </w:p>
    <w:p w:rsidR="00000000" w:rsidDel="00000000" w:rsidP="00000000" w:rsidRDefault="00000000" w:rsidRPr="00000000" w14:paraId="0000002E">
      <w:pPr>
        <w:jc w:val="left"/>
        <w:rPr>
          <w:b w:val="1"/>
          <w:sz w:val="26"/>
          <w:szCs w:val="26"/>
        </w:rPr>
      </w:pPr>
      <w:r w:rsidDel="00000000" w:rsidR="00000000" w:rsidRPr="00000000">
        <w:rPr>
          <w:rtl w:val="0"/>
        </w:rPr>
      </w:r>
    </w:p>
    <w:p w:rsidR="00000000" w:rsidDel="00000000" w:rsidP="00000000" w:rsidRDefault="00000000" w:rsidRPr="00000000" w14:paraId="0000002F">
      <w:pPr>
        <w:jc w:val="left"/>
        <w:rPr>
          <w:b w:val="1"/>
          <w:sz w:val="26"/>
          <w:szCs w:val="26"/>
        </w:rPr>
      </w:pPr>
      <w:r w:rsidDel="00000000" w:rsidR="00000000" w:rsidRPr="00000000">
        <w:rPr>
          <w:rtl w:val="0"/>
        </w:rPr>
      </w:r>
    </w:p>
    <w:p w:rsidR="00000000" w:rsidDel="00000000" w:rsidP="00000000" w:rsidRDefault="00000000" w:rsidRPr="00000000" w14:paraId="00000030">
      <w:pPr>
        <w:jc w:val="left"/>
        <w:rPr>
          <w:b w:val="1"/>
          <w:sz w:val="26"/>
          <w:szCs w:val="26"/>
        </w:rPr>
      </w:pPr>
      <w:r w:rsidDel="00000000" w:rsidR="00000000" w:rsidRPr="00000000">
        <w:rPr>
          <w:rtl w:val="0"/>
        </w:rPr>
      </w:r>
    </w:p>
    <w:p w:rsidR="00000000" w:rsidDel="00000000" w:rsidP="00000000" w:rsidRDefault="00000000" w:rsidRPr="00000000" w14:paraId="00000031">
      <w:pPr>
        <w:jc w:val="left"/>
        <w:rPr>
          <w:b w:val="1"/>
          <w:sz w:val="26"/>
          <w:szCs w:val="26"/>
        </w:rPr>
      </w:pPr>
      <w:r w:rsidDel="00000000" w:rsidR="00000000" w:rsidRPr="00000000">
        <w:rPr>
          <w:rtl w:val="0"/>
        </w:rPr>
      </w:r>
    </w:p>
    <w:p w:rsidR="00000000" w:rsidDel="00000000" w:rsidP="00000000" w:rsidRDefault="00000000" w:rsidRPr="00000000" w14:paraId="00000032">
      <w:pPr>
        <w:jc w:val="left"/>
        <w:rPr>
          <w:b w:val="1"/>
          <w:sz w:val="26"/>
          <w:szCs w:val="26"/>
        </w:rPr>
      </w:pPr>
      <w:r w:rsidDel="00000000" w:rsidR="00000000" w:rsidRPr="00000000">
        <w:rPr>
          <w:rtl w:val="0"/>
        </w:rPr>
      </w:r>
    </w:p>
    <w:p w:rsidR="00000000" w:rsidDel="00000000" w:rsidP="00000000" w:rsidRDefault="00000000" w:rsidRPr="00000000" w14:paraId="00000033">
      <w:pPr>
        <w:jc w:val="left"/>
        <w:rPr>
          <w:b w:val="1"/>
          <w:sz w:val="26"/>
          <w:szCs w:val="26"/>
        </w:rPr>
      </w:pPr>
      <w:r w:rsidDel="00000000" w:rsidR="00000000" w:rsidRPr="00000000">
        <w:rPr>
          <w:rtl w:val="0"/>
        </w:rPr>
      </w:r>
    </w:p>
    <w:p w:rsidR="00000000" w:rsidDel="00000000" w:rsidP="00000000" w:rsidRDefault="00000000" w:rsidRPr="00000000" w14:paraId="00000034">
      <w:pPr>
        <w:jc w:val="left"/>
        <w:rPr>
          <w:b w:val="1"/>
          <w:sz w:val="26"/>
          <w:szCs w:val="26"/>
        </w:rPr>
      </w:pPr>
      <w:r w:rsidDel="00000000" w:rsidR="00000000" w:rsidRPr="00000000">
        <w:rPr>
          <w:rtl w:val="0"/>
        </w:rPr>
      </w:r>
    </w:p>
    <w:p w:rsidR="00000000" w:rsidDel="00000000" w:rsidP="00000000" w:rsidRDefault="00000000" w:rsidRPr="00000000" w14:paraId="00000035">
      <w:pPr>
        <w:jc w:val="left"/>
        <w:rPr>
          <w:b w:val="1"/>
          <w:sz w:val="26"/>
          <w:szCs w:val="26"/>
        </w:rPr>
      </w:pPr>
      <w:r w:rsidDel="00000000" w:rsidR="00000000" w:rsidRPr="00000000">
        <w:rPr>
          <w:rtl w:val="0"/>
        </w:rPr>
      </w:r>
    </w:p>
    <w:p w:rsidR="00000000" w:rsidDel="00000000" w:rsidP="00000000" w:rsidRDefault="00000000" w:rsidRPr="00000000" w14:paraId="00000036">
      <w:pPr>
        <w:jc w:val="left"/>
        <w:rPr>
          <w:b w:val="1"/>
          <w:sz w:val="26"/>
          <w:szCs w:val="26"/>
        </w:rPr>
      </w:pPr>
      <w:r w:rsidDel="00000000" w:rsidR="00000000" w:rsidRPr="00000000">
        <w:rPr>
          <w:rtl w:val="0"/>
        </w:rPr>
      </w:r>
    </w:p>
    <w:p w:rsidR="00000000" w:rsidDel="00000000" w:rsidP="00000000" w:rsidRDefault="00000000" w:rsidRPr="00000000" w14:paraId="00000037">
      <w:pPr>
        <w:jc w:val="left"/>
        <w:rPr>
          <w:b w:val="1"/>
          <w:sz w:val="26"/>
          <w:szCs w:val="26"/>
        </w:rPr>
      </w:pPr>
      <w:r w:rsidDel="00000000" w:rsidR="00000000" w:rsidRPr="00000000">
        <w:rPr>
          <w:rtl w:val="0"/>
        </w:rPr>
      </w:r>
    </w:p>
    <w:p w:rsidR="00000000" w:rsidDel="00000000" w:rsidP="00000000" w:rsidRDefault="00000000" w:rsidRPr="00000000" w14:paraId="00000038">
      <w:pPr>
        <w:jc w:val="left"/>
        <w:rPr>
          <w:b w:val="1"/>
          <w:sz w:val="26"/>
          <w:szCs w:val="26"/>
        </w:rPr>
      </w:pPr>
      <w:r w:rsidDel="00000000" w:rsidR="00000000" w:rsidRPr="00000000">
        <w:rPr>
          <w:rtl w:val="0"/>
        </w:rPr>
      </w:r>
    </w:p>
    <w:p w:rsidR="00000000" w:rsidDel="00000000" w:rsidP="00000000" w:rsidRDefault="00000000" w:rsidRPr="00000000" w14:paraId="00000039">
      <w:pPr>
        <w:jc w:val="left"/>
        <w:rPr>
          <w:b w:val="1"/>
          <w:sz w:val="26"/>
          <w:szCs w:val="26"/>
        </w:rPr>
      </w:pPr>
      <w:r w:rsidDel="00000000" w:rsidR="00000000" w:rsidRPr="00000000">
        <w:rPr>
          <w:rtl w:val="0"/>
        </w:rPr>
      </w:r>
    </w:p>
    <w:p w:rsidR="00000000" w:rsidDel="00000000" w:rsidP="00000000" w:rsidRDefault="00000000" w:rsidRPr="00000000" w14:paraId="0000003A">
      <w:pPr>
        <w:jc w:val="left"/>
        <w:rPr>
          <w:b w:val="1"/>
          <w:sz w:val="26"/>
          <w:szCs w:val="26"/>
        </w:rPr>
      </w:pPr>
      <w:r w:rsidDel="00000000" w:rsidR="00000000" w:rsidRPr="00000000">
        <w:rPr>
          <w:rtl w:val="0"/>
        </w:rPr>
      </w:r>
    </w:p>
    <w:p w:rsidR="00000000" w:rsidDel="00000000" w:rsidP="00000000" w:rsidRDefault="00000000" w:rsidRPr="00000000" w14:paraId="0000003B">
      <w:pPr>
        <w:jc w:val="center"/>
        <w:rPr>
          <w:sz w:val="26"/>
          <w:szCs w:val="26"/>
        </w:rPr>
      </w:pPr>
      <w:r w:rsidDel="00000000" w:rsidR="00000000" w:rsidRPr="00000000">
        <w:rPr>
          <w:b w:val="1"/>
          <w:color w:val="000000"/>
          <w:sz w:val="26"/>
          <w:szCs w:val="26"/>
          <w:rtl w:val="0"/>
        </w:rPr>
        <w:t xml:space="preserve">PARECER N.º</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/2022 DA COMISSÃO DE JUSTIÇA E REDAÇÃO</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3C">
      <w:pPr>
        <w:spacing w:after="240" w:lineRule="auto"/>
        <w:rPr>
          <w:sz w:val="26"/>
          <w:szCs w:val="26"/>
        </w:rPr>
      </w:pPr>
      <w:r w:rsidDel="00000000" w:rsidR="00000000" w:rsidRPr="00000000">
        <w:rPr>
          <w:rtl w:val="0"/>
        </w:rPr>
      </w:r>
    </w:p>
    <w:p w:rsidR="00000000" w:rsidDel="00000000" w:rsidP="00000000" w:rsidRDefault="00000000" w:rsidRPr="00000000" w14:paraId="0000003D">
      <w:pPr>
        <w:spacing w:line="360" w:lineRule="auto"/>
        <w:ind w:firstLine="720"/>
        <w:jc w:val="both"/>
        <w:rPr>
          <w:sz w:val="26"/>
          <w:szCs w:val="26"/>
        </w:rPr>
      </w:pPr>
      <w:r w:rsidDel="00000000" w:rsidR="00000000" w:rsidRPr="00000000">
        <w:rPr>
          <w:color w:val="000000"/>
          <w:sz w:val="26"/>
          <w:szCs w:val="26"/>
          <w:rtl w:val="0"/>
        </w:rPr>
        <w:t xml:space="preserve">Seguindo o Voto exarado pelo Relator e conforme determina o artigo 35</w:t>
      </w:r>
      <w:r w:rsidDel="00000000" w:rsidR="00000000" w:rsidRPr="00000000">
        <w:rPr>
          <w:sz w:val="26"/>
          <w:szCs w:val="26"/>
          <w:rtl w:val="0"/>
        </w:rPr>
        <w:t xml:space="preserve"> da Resolução n°  276 de 09 de novembro de 2010, Regimento Interno da Câmara Municipal de Mogi Mirim, a Comissões</w:t>
      </w:r>
      <w:r w:rsidDel="00000000" w:rsidR="00000000" w:rsidRPr="00000000">
        <w:rPr>
          <w:color w:val="000000"/>
          <w:sz w:val="26"/>
          <w:szCs w:val="26"/>
          <w:rtl w:val="0"/>
        </w:rPr>
        <w:t xml:space="preserve"> de Justiça</w:t>
      </w:r>
      <w:r w:rsidDel="00000000" w:rsidR="00000000" w:rsidRPr="00000000">
        <w:rPr>
          <w:sz w:val="26"/>
          <w:szCs w:val="26"/>
          <w:rtl w:val="0"/>
        </w:rPr>
        <w:t xml:space="preserve"> formaliza</w:t>
      </w:r>
      <w:r w:rsidDel="00000000" w:rsidR="00000000" w:rsidRPr="00000000">
        <w:rPr>
          <w:color w:val="000000"/>
          <w:sz w:val="26"/>
          <w:szCs w:val="26"/>
          <w:rtl w:val="0"/>
        </w:rPr>
        <w:t xml:space="preserve"> o presente </w:t>
      </w:r>
      <w:r w:rsidDel="00000000" w:rsidR="00000000" w:rsidRPr="00000000">
        <w:rPr>
          <w:b w:val="1"/>
          <w:color w:val="000000"/>
          <w:sz w:val="26"/>
          <w:szCs w:val="26"/>
          <w:rtl w:val="0"/>
        </w:rPr>
        <w:t xml:space="preserve">PARECER DESFAVORÁVEL </w:t>
      </w:r>
      <w:r w:rsidDel="00000000" w:rsidR="00000000" w:rsidRPr="00000000">
        <w:rPr>
          <w:color w:val="000000"/>
          <w:sz w:val="26"/>
          <w:szCs w:val="26"/>
          <w:rtl w:val="0"/>
        </w:rPr>
        <w:t xml:space="preserve">ao Projeto de Lei </w:t>
      </w:r>
      <w:r w:rsidDel="00000000" w:rsidR="00000000" w:rsidRPr="00000000">
        <w:rPr>
          <w:sz w:val="26"/>
          <w:szCs w:val="26"/>
          <w:rtl w:val="0"/>
        </w:rPr>
        <w:t xml:space="preserve">n° 165 de 2021</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03E">
      <w:pPr>
        <w:spacing w:line="360" w:lineRule="auto"/>
        <w:jc w:val="both"/>
        <w:rPr>
          <w:sz w:val="26"/>
          <w:szCs w:val="26"/>
        </w:rPr>
      </w:pPr>
      <w:r w:rsidDel="00000000" w:rsidR="00000000" w:rsidRPr="00000000">
        <w:rPr>
          <w:rtl w:val="0"/>
        </w:rPr>
      </w:r>
    </w:p>
    <w:p w:rsidR="00000000" w:rsidDel="00000000" w:rsidP="00000000" w:rsidRDefault="00000000" w:rsidRPr="00000000" w14:paraId="0000003F">
      <w:pPr>
        <w:spacing w:line="360" w:lineRule="auto"/>
        <w:jc w:val="center"/>
        <w:rPr>
          <w:sz w:val="26"/>
          <w:szCs w:val="26"/>
        </w:rPr>
      </w:pPr>
      <w:r w:rsidDel="00000000" w:rsidR="00000000" w:rsidRPr="00000000">
        <w:rPr>
          <w:color w:val="000000"/>
          <w:sz w:val="26"/>
          <w:szCs w:val="26"/>
          <w:highlight w:val="white"/>
          <w:rtl w:val="0"/>
        </w:rPr>
        <w:t xml:space="preserve">Sala das Comissões, em </w:t>
      </w:r>
      <w:r w:rsidDel="00000000" w:rsidR="00000000" w:rsidRPr="00000000">
        <w:rPr>
          <w:sz w:val="26"/>
          <w:szCs w:val="26"/>
          <w:highlight w:val="white"/>
          <w:rtl w:val="0"/>
        </w:rPr>
        <w:t xml:space="preserve">24 </w:t>
      </w:r>
      <w:r w:rsidDel="00000000" w:rsidR="00000000" w:rsidRPr="00000000">
        <w:rPr>
          <w:color w:val="000000"/>
          <w:sz w:val="26"/>
          <w:szCs w:val="26"/>
          <w:highlight w:val="white"/>
          <w:rtl w:val="0"/>
        </w:rPr>
        <w:t xml:space="preserve">de</w:t>
      </w:r>
      <w:r w:rsidDel="00000000" w:rsidR="00000000" w:rsidRPr="00000000">
        <w:rPr>
          <w:sz w:val="26"/>
          <w:szCs w:val="26"/>
          <w:highlight w:val="white"/>
          <w:rtl w:val="0"/>
        </w:rPr>
        <w:t xml:space="preserve"> outubro </w:t>
      </w:r>
      <w:r w:rsidDel="00000000" w:rsidR="00000000" w:rsidRPr="00000000">
        <w:rPr>
          <w:color w:val="000000"/>
          <w:sz w:val="26"/>
          <w:szCs w:val="26"/>
          <w:highlight w:val="white"/>
          <w:rtl w:val="0"/>
        </w:rPr>
        <w:t xml:space="preserve">de 2022.</w:t>
      </w:r>
      <w:r w:rsidDel="00000000" w:rsidR="00000000" w:rsidRPr="00000000">
        <w:rPr>
          <w:rtl w:val="0"/>
        </w:rPr>
      </w:r>
    </w:p>
    <w:p w:rsidR="00000000" w:rsidDel="00000000" w:rsidP="00000000" w:rsidRDefault="00000000" w:rsidRPr="00000000" w14:paraId="00000040">
      <w:pPr>
        <w:spacing w:after="240" w:lineRule="auto"/>
        <w:rPr>
          <w:b w:val="1"/>
          <w:sz w:val="26"/>
          <w:szCs w:val="26"/>
        </w:rPr>
      </w:pPr>
      <w:r w:rsidDel="00000000" w:rsidR="00000000" w:rsidRPr="00000000">
        <w:rPr>
          <w:rtl w:val="0"/>
        </w:rPr>
      </w:r>
    </w:p>
    <w:p w:rsidR="00000000" w:rsidDel="00000000" w:rsidP="00000000" w:rsidRDefault="00000000" w:rsidRPr="00000000" w14:paraId="00000041">
      <w:pPr>
        <w:jc w:val="center"/>
        <w:rPr>
          <w:b w:val="1"/>
          <w:sz w:val="26"/>
          <w:szCs w:val="26"/>
        </w:rPr>
      </w:pPr>
      <w:r w:rsidDel="00000000" w:rsidR="00000000" w:rsidRPr="00000000">
        <w:rPr>
          <w:b w:val="1"/>
          <w:color w:val="000000"/>
          <w:sz w:val="26"/>
          <w:szCs w:val="26"/>
          <w:highlight w:val="white"/>
          <w:u w:val="single"/>
          <w:rtl w:val="0"/>
        </w:rPr>
        <w:t xml:space="preserve">COMISSÃO DE JUSTIÇA E REDAÇÃO</w:t>
      </w:r>
      <w:r w:rsidDel="00000000" w:rsidR="00000000" w:rsidRPr="00000000">
        <w:rPr>
          <w:rtl w:val="0"/>
        </w:rPr>
      </w:r>
    </w:p>
    <w:p w:rsidR="00000000" w:rsidDel="00000000" w:rsidP="00000000" w:rsidRDefault="00000000" w:rsidRPr="00000000" w14:paraId="00000042">
      <w:pPr>
        <w:spacing w:after="240" w:lineRule="auto"/>
        <w:rPr>
          <w:sz w:val="26"/>
          <w:szCs w:val="26"/>
        </w:rPr>
      </w:pPr>
      <w:r w:rsidDel="00000000" w:rsidR="00000000" w:rsidRPr="00000000">
        <w:rPr>
          <w:sz w:val="26"/>
          <w:szCs w:val="26"/>
          <w:rtl w:val="0"/>
        </w:rPr>
        <w:br w:type="textWrapping"/>
      </w:r>
    </w:p>
    <w:p w:rsidR="00000000" w:rsidDel="00000000" w:rsidP="00000000" w:rsidRDefault="00000000" w:rsidRPr="00000000" w14:paraId="00000043">
      <w:pPr>
        <w:jc w:val="center"/>
        <w:rPr>
          <w:b w:val="1"/>
          <w:sz w:val="26"/>
          <w:szCs w:val="26"/>
        </w:rPr>
      </w:pPr>
      <w:r w:rsidDel="00000000" w:rsidR="00000000" w:rsidRPr="00000000">
        <w:rPr>
          <w:rtl w:val="0"/>
        </w:rPr>
      </w:r>
    </w:p>
    <w:p w:rsidR="00000000" w:rsidDel="00000000" w:rsidP="00000000" w:rsidRDefault="00000000" w:rsidRPr="00000000" w14:paraId="00000044">
      <w:pPr>
        <w:jc w:val="left"/>
        <w:rPr>
          <w:b w:val="1"/>
          <w:sz w:val="26"/>
          <w:szCs w:val="26"/>
        </w:rPr>
      </w:pPr>
      <w:r w:rsidDel="00000000" w:rsidR="00000000" w:rsidRPr="00000000">
        <w:rPr>
          <w:rtl w:val="0"/>
        </w:rPr>
      </w:r>
    </w:p>
    <w:p w:rsidR="00000000" w:rsidDel="00000000" w:rsidP="00000000" w:rsidRDefault="00000000" w:rsidRPr="00000000" w14:paraId="00000045">
      <w:pPr>
        <w:jc w:val="left"/>
        <w:rPr>
          <w:b w:val="1"/>
          <w:sz w:val="26"/>
          <w:szCs w:val="26"/>
        </w:rPr>
      </w:pPr>
      <w:r w:rsidDel="00000000" w:rsidR="00000000" w:rsidRPr="00000000">
        <w:rPr>
          <w:rtl w:val="0"/>
        </w:rPr>
      </w:r>
    </w:p>
    <w:p w:rsidR="00000000" w:rsidDel="00000000" w:rsidP="00000000" w:rsidRDefault="00000000" w:rsidRPr="00000000" w14:paraId="00000046">
      <w:pPr>
        <w:jc w:val="center"/>
        <w:rPr>
          <w:sz w:val="26"/>
          <w:szCs w:val="26"/>
        </w:rPr>
      </w:pPr>
      <w:r w:rsidDel="00000000" w:rsidR="00000000" w:rsidRPr="00000000">
        <w:rPr>
          <w:b w:val="1"/>
          <w:color w:val="000000"/>
          <w:sz w:val="26"/>
          <w:szCs w:val="26"/>
          <w:highlight w:val="white"/>
          <w:rtl w:val="0"/>
        </w:rPr>
        <w:t xml:space="preserve">VEREADOR JOÃO VICTOR GASPARINI</w:t>
      </w:r>
      <w:r w:rsidDel="00000000" w:rsidR="00000000" w:rsidRPr="00000000">
        <w:rPr>
          <w:rtl w:val="0"/>
        </w:rPr>
      </w:r>
    </w:p>
    <w:p w:rsidR="00000000" w:rsidDel="00000000" w:rsidP="00000000" w:rsidRDefault="00000000" w:rsidRPr="00000000" w14:paraId="00000047">
      <w:pPr>
        <w:jc w:val="center"/>
        <w:rPr>
          <w:color w:val="000000"/>
          <w:sz w:val="26"/>
          <w:szCs w:val="26"/>
          <w:highlight w:val="white"/>
        </w:rPr>
      </w:pPr>
      <w:r w:rsidDel="00000000" w:rsidR="00000000" w:rsidRPr="00000000">
        <w:rPr>
          <w:color w:val="000000"/>
          <w:sz w:val="26"/>
          <w:szCs w:val="26"/>
          <w:highlight w:val="white"/>
          <w:rtl w:val="0"/>
        </w:rPr>
        <w:t xml:space="preserve">Presidente / R</w:t>
      </w:r>
      <w:r w:rsidDel="00000000" w:rsidR="00000000" w:rsidRPr="00000000">
        <w:rPr>
          <w:sz w:val="26"/>
          <w:szCs w:val="26"/>
          <w:highlight w:val="white"/>
          <w:rtl w:val="0"/>
        </w:rPr>
        <w:t xml:space="preserve">elator</w:t>
      </w:r>
      <w:r w:rsidDel="00000000" w:rsidR="00000000" w:rsidRPr="00000000">
        <w:rPr>
          <w:rtl w:val="0"/>
        </w:rPr>
      </w:r>
    </w:p>
    <w:p w:rsidR="00000000" w:rsidDel="00000000" w:rsidP="00000000" w:rsidRDefault="00000000" w:rsidRPr="00000000" w14:paraId="00000048">
      <w:pPr>
        <w:jc w:val="center"/>
        <w:rPr>
          <w:sz w:val="26"/>
          <w:szCs w:val="26"/>
        </w:rPr>
      </w:pPr>
      <w:r w:rsidDel="00000000" w:rsidR="00000000" w:rsidRPr="00000000">
        <w:rPr>
          <w:rtl w:val="0"/>
        </w:rPr>
      </w:r>
    </w:p>
    <w:p w:rsidR="00000000" w:rsidDel="00000000" w:rsidP="00000000" w:rsidRDefault="00000000" w:rsidRPr="00000000" w14:paraId="00000049">
      <w:pPr>
        <w:jc w:val="center"/>
        <w:rPr>
          <w:sz w:val="26"/>
          <w:szCs w:val="26"/>
        </w:rPr>
      </w:pPr>
      <w:r w:rsidDel="00000000" w:rsidR="00000000" w:rsidRPr="00000000">
        <w:rPr>
          <w:rtl w:val="0"/>
        </w:rPr>
      </w:r>
    </w:p>
    <w:p w:rsidR="00000000" w:rsidDel="00000000" w:rsidP="00000000" w:rsidRDefault="00000000" w:rsidRPr="00000000" w14:paraId="0000004A">
      <w:pPr>
        <w:jc w:val="center"/>
        <w:rPr>
          <w:sz w:val="26"/>
          <w:szCs w:val="26"/>
        </w:rPr>
      </w:pPr>
      <w:r w:rsidDel="00000000" w:rsidR="00000000" w:rsidRPr="00000000">
        <w:rPr>
          <w:rtl w:val="0"/>
        </w:rPr>
      </w:r>
    </w:p>
    <w:p w:rsidR="00000000" w:rsidDel="00000000" w:rsidP="00000000" w:rsidRDefault="00000000" w:rsidRPr="00000000" w14:paraId="0000004B">
      <w:pPr>
        <w:spacing w:after="240" w:lineRule="auto"/>
        <w:rPr>
          <w:sz w:val="26"/>
          <w:szCs w:val="26"/>
        </w:rPr>
      </w:pPr>
      <w:r w:rsidDel="00000000" w:rsidR="00000000" w:rsidRPr="00000000">
        <w:rPr>
          <w:rtl w:val="0"/>
        </w:rPr>
      </w:r>
    </w:p>
    <w:p w:rsidR="00000000" w:rsidDel="00000000" w:rsidP="00000000" w:rsidRDefault="00000000" w:rsidRPr="00000000" w14:paraId="0000004C">
      <w:pPr>
        <w:jc w:val="center"/>
        <w:rPr>
          <w:sz w:val="26"/>
          <w:szCs w:val="26"/>
        </w:rPr>
      </w:pPr>
      <w:r w:rsidDel="00000000" w:rsidR="00000000" w:rsidRPr="00000000">
        <w:rPr>
          <w:b w:val="1"/>
          <w:color w:val="000000"/>
          <w:sz w:val="26"/>
          <w:szCs w:val="26"/>
          <w:highlight w:val="white"/>
          <w:rtl w:val="0"/>
        </w:rPr>
        <w:t xml:space="preserve">VEREADORA MARA CRISTINA CHOQUETTA</w:t>
      </w:r>
      <w:r w:rsidDel="00000000" w:rsidR="00000000" w:rsidRPr="00000000">
        <w:rPr>
          <w:rtl w:val="0"/>
        </w:rPr>
      </w:r>
    </w:p>
    <w:p w:rsidR="00000000" w:rsidDel="00000000" w:rsidP="00000000" w:rsidRDefault="00000000" w:rsidRPr="00000000" w14:paraId="0000004D">
      <w:pPr>
        <w:jc w:val="center"/>
        <w:rPr>
          <w:sz w:val="26"/>
          <w:szCs w:val="26"/>
        </w:rPr>
      </w:pPr>
      <w:r w:rsidDel="00000000" w:rsidR="00000000" w:rsidRPr="00000000">
        <w:rPr>
          <w:color w:val="000000"/>
          <w:sz w:val="26"/>
          <w:szCs w:val="26"/>
          <w:highlight w:val="white"/>
          <w:rtl w:val="0"/>
        </w:rPr>
        <w:t xml:space="preserve">Vice-presidente</w:t>
      </w:r>
      <w:r w:rsidDel="00000000" w:rsidR="00000000" w:rsidRPr="00000000">
        <w:rPr>
          <w:rtl w:val="0"/>
        </w:rPr>
      </w:r>
    </w:p>
    <w:p w:rsidR="00000000" w:rsidDel="00000000" w:rsidP="00000000" w:rsidRDefault="00000000" w:rsidRPr="00000000" w14:paraId="0000004E">
      <w:pPr>
        <w:spacing w:after="240" w:lineRule="auto"/>
        <w:rPr>
          <w:sz w:val="26"/>
          <w:szCs w:val="26"/>
        </w:rPr>
      </w:pPr>
      <w:r w:rsidDel="00000000" w:rsidR="00000000" w:rsidRPr="00000000">
        <w:rPr>
          <w:rtl w:val="0"/>
        </w:rPr>
      </w:r>
    </w:p>
    <w:p w:rsidR="00000000" w:rsidDel="00000000" w:rsidP="00000000" w:rsidRDefault="00000000" w:rsidRPr="00000000" w14:paraId="0000004F">
      <w:pPr>
        <w:spacing w:after="240" w:lineRule="auto"/>
        <w:rPr>
          <w:sz w:val="26"/>
          <w:szCs w:val="26"/>
        </w:rPr>
      </w:pPr>
      <w:r w:rsidDel="00000000" w:rsidR="00000000" w:rsidRPr="00000000">
        <w:rPr>
          <w:rtl w:val="0"/>
        </w:rPr>
      </w:r>
    </w:p>
    <w:p w:rsidR="00000000" w:rsidDel="00000000" w:rsidP="00000000" w:rsidRDefault="00000000" w:rsidRPr="00000000" w14:paraId="00000050">
      <w:pPr>
        <w:spacing w:after="240" w:lineRule="auto"/>
        <w:rPr>
          <w:sz w:val="26"/>
          <w:szCs w:val="26"/>
        </w:rPr>
      </w:pPr>
      <w:r w:rsidDel="00000000" w:rsidR="00000000" w:rsidRPr="00000000">
        <w:rPr>
          <w:sz w:val="26"/>
          <w:szCs w:val="26"/>
          <w:rtl w:val="0"/>
        </w:rPr>
        <w:br w:type="textWrapping"/>
      </w:r>
    </w:p>
    <w:p w:rsidR="00000000" w:rsidDel="00000000" w:rsidP="00000000" w:rsidRDefault="00000000" w:rsidRPr="00000000" w14:paraId="00000051">
      <w:pPr>
        <w:jc w:val="center"/>
        <w:rPr>
          <w:sz w:val="26"/>
          <w:szCs w:val="26"/>
        </w:rPr>
      </w:pPr>
      <w:r w:rsidDel="00000000" w:rsidR="00000000" w:rsidRPr="00000000">
        <w:rPr>
          <w:b w:val="1"/>
          <w:sz w:val="26"/>
          <w:szCs w:val="26"/>
          <w:highlight w:val="white"/>
          <w:rtl w:val="0"/>
        </w:rPr>
        <w:t xml:space="preserve">VEREADORA DR. LÚCIA MARIA FERREIRA TENÓRIO</w:t>
      </w:r>
      <w:r w:rsidDel="00000000" w:rsidR="00000000" w:rsidRPr="00000000">
        <w:rPr>
          <w:rtl w:val="0"/>
        </w:rPr>
      </w:r>
    </w:p>
    <w:p w:rsidR="00000000" w:rsidDel="00000000" w:rsidP="00000000" w:rsidRDefault="00000000" w:rsidRPr="00000000" w14:paraId="00000052">
      <w:pPr>
        <w:spacing w:after="0" w:lineRule="auto"/>
        <w:jc w:val="center"/>
        <w:rPr>
          <w:sz w:val="26"/>
          <w:szCs w:val="26"/>
        </w:rPr>
      </w:pPr>
      <w:r w:rsidDel="00000000" w:rsidR="00000000" w:rsidRPr="00000000">
        <w:rPr>
          <w:color w:val="000000"/>
          <w:sz w:val="26"/>
          <w:szCs w:val="26"/>
          <w:highlight w:val="white"/>
          <w:rtl w:val="0"/>
        </w:rPr>
        <w:t xml:space="preserve">Membro </w:t>
      </w:r>
      <w:r w:rsidDel="00000000" w:rsidR="00000000" w:rsidRPr="00000000">
        <w:rPr>
          <w:rtl w:val="0"/>
        </w:rPr>
      </w:r>
    </w:p>
    <w:p w:rsidR="00000000" w:rsidDel="00000000" w:rsidP="00000000" w:rsidRDefault="00000000" w:rsidRPr="00000000" w14:paraId="00000053">
      <w:pPr>
        <w:spacing w:after="240" w:before="0" w:lineRule="auto"/>
        <w:jc w:val="left"/>
        <w:rPr>
          <w:rFonts w:ascii="Calibri" w:cs="Calibri" w:eastAsia="Calibri" w:hAnsi="Calibri"/>
          <w:b w:val="1"/>
          <w:sz w:val="26"/>
          <w:szCs w:val="26"/>
          <w:highlight w:val="white"/>
          <w:u w:val="single"/>
        </w:rPr>
      </w:pPr>
      <w:r w:rsidDel="00000000" w:rsidR="00000000" w:rsidRPr="00000000">
        <w:rPr>
          <w:rtl w:val="0"/>
        </w:rPr>
      </w:r>
    </w:p>
    <w:sectPr>
      <w:headerReference r:id="rId6" w:type="default"/>
      <w:headerReference r:id="rId7" w:type="even"/>
      <w:footerReference r:id="rId8" w:type="default"/>
      <w:pgSz w:h="16840" w:w="11907" w:orient="portrait"/>
      <w:pgMar w:bottom="1701" w:top="2268" w:left="1418" w:right="13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Dr. José Alves, 129 - Centro - Fone : (019) 3814.1200 - Fax: (019) 3814.1206 – Mogi Mirim - SP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7513"/>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