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PARECER DA COMISSÃO DE OBRAS, SERVIÇOS PÚBLICOS E ATIVIDADES PRIVADAS.</w:t>
      </w:r>
    </w:p>
    <w:p>
      <w:pPr>
        <w:pStyle w:val="Normal1"/>
        <w:spacing w:lineRule="atLeast" w:line="38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Parecer n.º </w:t>
      </w:r>
      <w:bookmarkStart w:id="0" w:name="_GoBack"/>
      <w:bookmarkEnd w:id="0"/>
      <w:r>
        <w:rPr>
          <w:rFonts w:eastAsia="Arial" w:cs="Arial" w:ascii="Arial" w:hAnsi="Arial"/>
          <w:b/>
          <w:sz w:val="24"/>
          <w:szCs w:val="24"/>
        </w:rPr>
        <w:t>1</w:t>
      </w:r>
      <w:r>
        <w:rPr>
          <w:rFonts w:eastAsia="Arial" w:cs="Arial" w:ascii="Arial" w:hAnsi="Arial"/>
          <w:b/>
          <w:sz w:val="24"/>
          <w:szCs w:val="24"/>
        </w:rPr>
        <w:t>7</w:t>
      </w:r>
    </w:p>
    <w:p>
      <w:pPr>
        <w:pStyle w:val="Normal1"/>
        <w:spacing w:lineRule="atLeast" w:line="38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Projeto de Lei n.º </w:t>
      </w:r>
      <w:r>
        <w:rPr>
          <w:rFonts w:eastAsia="Arial" w:cs="Arial" w:ascii="Arial" w:hAnsi="Arial"/>
          <w:b/>
          <w:sz w:val="24"/>
          <w:szCs w:val="24"/>
        </w:rPr>
        <w:t>15</w:t>
      </w:r>
      <w:r>
        <w:rPr>
          <w:rFonts w:eastAsia="Arial" w:cs="Arial" w:ascii="Arial" w:hAnsi="Arial"/>
          <w:b/>
          <w:sz w:val="24"/>
          <w:szCs w:val="24"/>
        </w:rPr>
        <w:t>2</w:t>
      </w:r>
      <w:r>
        <w:rPr>
          <w:rFonts w:eastAsia="Arial" w:cs="Arial" w:ascii="Arial" w:hAnsi="Arial"/>
          <w:b/>
          <w:sz w:val="24"/>
          <w:szCs w:val="24"/>
        </w:rPr>
        <w:t xml:space="preserve"> de 2022</w:t>
      </w:r>
    </w:p>
    <w:p>
      <w:pPr>
        <w:pStyle w:val="Normal1"/>
        <w:spacing w:lineRule="atLeast" w:line="38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Processo nº: </w:t>
      </w:r>
      <w:r>
        <w:rPr>
          <w:rFonts w:eastAsia="Arial" w:cs="Arial" w:ascii="Arial" w:hAnsi="Arial"/>
          <w:b/>
          <w:sz w:val="24"/>
          <w:szCs w:val="24"/>
        </w:rPr>
        <w:t>23</w:t>
      </w:r>
      <w:r>
        <w:rPr>
          <w:rFonts w:eastAsia="Arial" w:cs="Arial" w:ascii="Arial" w:hAnsi="Arial"/>
          <w:b/>
          <w:sz w:val="24"/>
          <w:szCs w:val="24"/>
        </w:rPr>
        <w:t>9</w:t>
      </w:r>
      <w:r>
        <w:rPr>
          <w:rFonts w:eastAsia="Arial" w:cs="Arial" w:ascii="Arial" w:hAnsi="Arial"/>
          <w:b/>
          <w:sz w:val="24"/>
          <w:szCs w:val="24"/>
        </w:rPr>
        <w:t xml:space="preserve"> de 2022.</w:t>
      </w:r>
    </w:p>
    <w:p>
      <w:pPr>
        <w:pStyle w:val="Normal1"/>
        <w:spacing w:lineRule="auto" w:line="276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ab/>
      </w:r>
      <w:r>
        <w:rPr>
          <w:rFonts w:eastAsia="Arial" w:cs="Arial" w:ascii="Arial" w:hAnsi="Arial"/>
          <w:sz w:val="24"/>
          <w:szCs w:val="24"/>
        </w:rPr>
        <w:t>Conforme determina o artigo 38 do Regimento Interno</w:t>
      </w:r>
      <w:r>
        <w:rPr>
          <w:rFonts w:eastAsia="Calibri" w:cs="Calibri" w:ascii="Arial" w:hAnsi="Arial"/>
          <w:sz w:val="24"/>
          <w:szCs w:val="24"/>
        </w:rPr>
        <w:t xml:space="preserve"> (Resolução n.º 276 de 09 de novembro de 2.010) compete a Comissão de Obras e Serviços Públicos e Atividades </w:t>
      </w:r>
      <w:r>
        <w:rPr>
          <w:rFonts w:eastAsia="Calibri" w:cs="Arial" w:ascii="Arial" w:hAnsi="Arial"/>
          <w:sz w:val="24"/>
          <w:szCs w:val="24"/>
        </w:rPr>
        <w:t xml:space="preserve">Privadas </w:t>
      </w:r>
      <w:r>
        <w:rPr>
          <w:rFonts w:cs="Arial" w:ascii="Arial" w:hAnsi="Arial"/>
          <w:sz w:val="24"/>
          <w:szCs w:val="24"/>
        </w:rPr>
        <w:t xml:space="preserve">emitir parecer sobre todos os processos atinentes à realização de obras e execução de serviços pelo Município, autarquias, entidades paraestatais e concessionárias de serviços públicos de âmbito municipal, em outras atividades que digam respeito a transporte, comunicações, indústria, comércio e agricultura, nas matérias relacionadas com o meio ambiente, a flora, a fauna, os recursos hídricos do Município, mesmo que se relacionem com atividades privadas, mas sujeitas à deliberação da Câmara, e ainda, fiscalizar a execução do plano diretor,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cuja relatoria ficou a cargo do vereador </w:t>
      </w:r>
      <w:r>
        <w:rPr>
          <w:rFonts w:eastAsia="Arial" w:cs="Arial" w:ascii="Arial" w:hAnsi="Arial"/>
          <w:b/>
          <w:bCs/>
          <w:sz w:val="24"/>
          <w:szCs w:val="24"/>
          <w:u w:val="none"/>
        </w:rPr>
        <w:t>Orivaldo Aparecido Magalhães.</w:t>
      </w:r>
      <w:bookmarkStart w:id="1" w:name="_GoBack1"/>
      <w:bookmarkEnd w:id="1"/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ab/>
      </w:r>
    </w:p>
    <w:p>
      <w:pPr>
        <w:pStyle w:val="Normal1"/>
        <w:spacing w:lineRule="atLeast" w:line="38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I. Exposição da Matéria</w:t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O </w:t>
      </w:r>
      <w:r>
        <w:rPr>
          <w:rFonts w:eastAsia="Arial" w:cs="Arial" w:ascii="Arial" w:hAnsi="Arial"/>
          <w:sz w:val="24"/>
          <w:szCs w:val="24"/>
        </w:rPr>
        <w:t>poder Executivo</w:t>
      </w:r>
      <w:r>
        <w:rPr>
          <w:rFonts w:eastAsia="Arial" w:cs="Arial" w:ascii="Arial" w:hAnsi="Arial"/>
          <w:sz w:val="24"/>
          <w:szCs w:val="24"/>
        </w:rPr>
        <w:t xml:space="preserve"> encaminhou a esta Casa de Leis, o Projeto de Lei nº </w:t>
      </w:r>
      <w:r>
        <w:rPr>
          <w:rFonts w:eastAsia="Arial" w:cs="Arial" w:ascii="Arial" w:hAnsi="Arial"/>
          <w:sz w:val="24"/>
          <w:szCs w:val="24"/>
        </w:rPr>
        <w:t>15</w:t>
      </w:r>
      <w:r>
        <w:rPr>
          <w:rFonts w:eastAsia="Arial" w:cs="Arial" w:ascii="Arial" w:hAnsi="Arial"/>
          <w:sz w:val="24"/>
          <w:szCs w:val="24"/>
        </w:rPr>
        <w:t>2</w:t>
      </w:r>
      <w:r>
        <w:rPr>
          <w:rFonts w:eastAsia="Arial" w:cs="Arial" w:ascii="Arial" w:hAnsi="Arial"/>
          <w:sz w:val="24"/>
          <w:szCs w:val="24"/>
        </w:rPr>
        <w:t>/2022, que “</w:t>
      </w:r>
      <w:r>
        <w:rPr>
          <w:rFonts w:eastAsia="Arial" w:cs="Times New Roman" w:ascii="Arial" w:hAnsi="Arial"/>
          <w:b/>
          <w:caps/>
          <w:kern w:val="2"/>
          <w:sz w:val="24"/>
          <w:szCs w:val="24"/>
        </w:rPr>
        <w:t>Cria</w:t>
      </w:r>
      <w:r>
        <w:rPr>
          <w:rFonts w:eastAsia="Arial" w:cs="Times New Roman" w:ascii="Arial" w:hAnsi="Arial"/>
          <w:b/>
          <w:caps/>
          <w:spacing w:val="27"/>
          <w:kern w:val="2"/>
          <w:sz w:val="24"/>
          <w:szCs w:val="24"/>
        </w:rPr>
        <w:t xml:space="preserve"> </w:t>
      </w:r>
      <w:r>
        <w:rPr>
          <w:rFonts w:eastAsia="Arial" w:cs="Times New Roman" w:ascii="Arial" w:hAnsi="Arial"/>
          <w:b/>
          <w:caps/>
          <w:kern w:val="2"/>
          <w:sz w:val="24"/>
          <w:szCs w:val="24"/>
        </w:rPr>
        <w:t>o</w:t>
      </w:r>
      <w:r>
        <w:rPr>
          <w:rFonts w:eastAsia="Arial" w:cs="Times New Roman" w:ascii="Arial" w:hAnsi="Arial"/>
          <w:b/>
          <w:caps/>
          <w:spacing w:val="25"/>
          <w:kern w:val="2"/>
          <w:sz w:val="24"/>
          <w:szCs w:val="24"/>
        </w:rPr>
        <w:t xml:space="preserve"> </w:t>
      </w:r>
      <w:r>
        <w:rPr>
          <w:rFonts w:eastAsia="Arial" w:cs="Times New Roman" w:ascii="Arial" w:hAnsi="Arial"/>
          <w:b/>
          <w:caps/>
          <w:kern w:val="2"/>
          <w:sz w:val="24"/>
          <w:szCs w:val="24"/>
        </w:rPr>
        <w:t>Fundo</w:t>
      </w:r>
      <w:r>
        <w:rPr>
          <w:rFonts w:eastAsia="Arial" w:cs="Times New Roman" w:ascii="Arial" w:hAnsi="Arial"/>
          <w:b/>
          <w:caps/>
          <w:spacing w:val="26"/>
          <w:kern w:val="2"/>
          <w:sz w:val="24"/>
          <w:szCs w:val="24"/>
        </w:rPr>
        <w:t xml:space="preserve"> </w:t>
      </w:r>
      <w:r>
        <w:rPr>
          <w:rFonts w:eastAsia="Arial" w:cs="Times New Roman" w:ascii="Arial" w:hAnsi="Arial"/>
          <w:b/>
          <w:caps/>
          <w:kern w:val="2"/>
          <w:sz w:val="24"/>
          <w:szCs w:val="24"/>
        </w:rPr>
        <w:t>Municipal</w:t>
      </w:r>
      <w:r>
        <w:rPr>
          <w:rFonts w:eastAsia="Arial" w:cs="Times New Roman" w:ascii="Arial" w:hAnsi="Arial"/>
          <w:b/>
          <w:caps/>
          <w:spacing w:val="27"/>
          <w:kern w:val="2"/>
          <w:sz w:val="24"/>
          <w:szCs w:val="24"/>
        </w:rPr>
        <w:t xml:space="preserve"> </w:t>
      </w:r>
      <w:r>
        <w:rPr>
          <w:rFonts w:eastAsia="Arial" w:cs="Times New Roman" w:ascii="Arial" w:hAnsi="Arial"/>
          <w:b/>
          <w:caps/>
          <w:kern w:val="2"/>
          <w:sz w:val="24"/>
          <w:szCs w:val="24"/>
        </w:rPr>
        <w:t>de</w:t>
      </w:r>
      <w:r>
        <w:rPr>
          <w:rFonts w:eastAsia="Arial" w:cs="Times New Roman" w:ascii="Arial" w:hAnsi="Arial"/>
          <w:b/>
          <w:caps/>
          <w:spacing w:val="25"/>
          <w:kern w:val="2"/>
          <w:sz w:val="24"/>
          <w:szCs w:val="24"/>
        </w:rPr>
        <w:t xml:space="preserve"> </w:t>
      </w:r>
      <w:r>
        <w:rPr>
          <w:rFonts w:eastAsia="Arial" w:cs="Times New Roman" w:ascii="Arial" w:hAnsi="Arial"/>
          <w:b/>
          <w:caps/>
          <w:kern w:val="2"/>
          <w:sz w:val="24"/>
          <w:szCs w:val="24"/>
        </w:rPr>
        <w:t>Transporte</w:t>
      </w:r>
      <w:r>
        <w:rPr>
          <w:rFonts w:eastAsia="Arial" w:cs="Times New Roman" w:ascii="Arial" w:hAnsi="Arial"/>
          <w:b/>
          <w:caps/>
          <w:spacing w:val="28"/>
          <w:kern w:val="2"/>
          <w:sz w:val="24"/>
          <w:szCs w:val="24"/>
        </w:rPr>
        <w:t xml:space="preserve"> DE </w:t>
      </w:r>
      <w:r>
        <w:rPr>
          <w:rFonts w:eastAsia="Arial" w:cs="Times New Roman" w:ascii="Arial" w:hAnsi="Arial"/>
          <w:b/>
          <w:caps/>
          <w:kern w:val="2"/>
          <w:sz w:val="24"/>
          <w:szCs w:val="24"/>
        </w:rPr>
        <w:t>PassageiroS (FMTP),</w:t>
      </w:r>
      <w:r>
        <w:rPr>
          <w:rFonts w:eastAsia="Arial" w:cs="Times New Roman" w:ascii="Arial" w:hAnsi="Arial"/>
          <w:b/>
          <w:caps/>
          <w:spacing w:val="-2"/>
          <w:kern w:val="2"/>
          <w:sz w:val="24"/>
          <w:szCs w:val="24"/>
        </w:rPr>
        <w:t xml:space="preserve"> </w:t>
      </w:r>
      <w:r>
        <w:rPr>
          <w:rFonts w:eastAsia="Arial" w:cs="Times New Roman" w:ascii="Arial" w:hAnsi="Arial"/>
          <w:b/>
          <w:caps/>
          <w:kern w:val="2"/>
          <w:sz w:val="24"/>
          <w:szCs w:val="24"/>
        </w:rPr>
        <w:t>e</w:t>
      </w:r>
      <w:r>
        <w:rPr>
          <w:rFonts w:eastAsia="Arial" w:cs="Times New Roman" w:ascii="Arial" w:hAnsi="Arial"/>
          <w:b/>
          <w:caps/>
          <w:spacing w:val="-3"/>
          <w:kern w:val="2"/>
          <w:sz w:val="24"/>
          <w:szCs w:val="24"/>
        </w:rPr>
        <w:t xml:space="preserve"> </w:t>
      </w:r>
      <w:r>
        <w:rPr>
          <w:rFonts w:eastAsia="Arial" w:cs="Times New Roman" w:ascii="Arial" w:hAnsi="Arial"/>
          <w:b/>
          <w:caps/>
          <w:kern w:val="2"/>
          <w:sz w:val="24"/>
          <w:szCs w:val="24"/>
        </w:rPr>
        <w:t>dá</w:t>
      </w:r>
      <w:r>
        <w:rPr>
          <w:rFonts w:eastAsia="Arial" w:cs="Times New Roman" w:ascii="Arial" w:hAnsi="Arial"/>
          <w:b/>
          <w:caps/>
          <w:spacing w:val="-1"/>
          <w:kern w:val="2"/>
          <w:sz w:val="24"/>
          <w:szCs w:val="24"/>
        </w:rPr>
        <w:t xml:space="preserve"> </w:t>
      </w:r>
      <w:r>
        <w:rPr>
          <w:rFonts w:eastAsia="Arial" w:cs="Times New Roman" w:ascii="Arial" w:hAnsi="Arial"/>
          <w:b/>
          <w:caps/>
          <w:kern w:val="2"/>
          <w:sz w:val="24"/>
          <w:szCs w:val="24"/>
        </w:rPr>
        <w:t>outras providências.”</w:t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De acordo com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mensagem anexa ao referido projeto, o executivo informou </w:t>
      </w:r>
      <w:r>
        <w:rPr>
          <w:rFonts w:cs="Times New Roman" w:ascii="Arial" w:hAnsi="Arial"/>
          <w:sz w:val="24"/>
          <w:szCs w:val="24"/>
          <w:shd w:fill="FFFFFF" w:val="clear"/>
        </w:rPr>
        <w:t xml:space="preserve"> que </w:t>
      </w:r>
      <w:r>
        <w:rPr>
          <w:rFonts w:cs="Times New Roman" w:ascii="Arial" w:hAnsi="Arial"/>
          <w:sz w:val="24"/>
          <w:szCs w:val="24"/>
          <w:shd w:fill="FFFFFF" w:val="clear"/>
        </w:rPr>
        <w:t>a instituição do Fundo Municipal de Transporte de Passageiros servirá de instrumento de apoio essencial ao desenvolvimento da mobilidade urbana e dos sistemas de trânsito e de transportes de Mogi Mirim.</w:t>
      </w:r>
    </w:p>
    <w:p>
      <w:pPr>
        <w:pStyle w:val="Normal1"/>
        <w:spacing w:lineRule="atLeast" w:line="380"/>
        <w:ind w:firstLine="720"/>
        <w:jc w:val="both"/>
        <w:rPr>
          <w:rFonts w:cs="Times New Roman"/>
          <w:shd w:fill="FFFFFF" w:val="clear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eastAsia="Calibri" w:cs="Calibri"/>
          <w:b/>
          <w:b/>
        </w:rPr>
      </w:pPr>
      <w:r>
        <w:rPr>
          <w:rFonts w:eastAsia="Calibri" w:cs="Calibri"/>
          <w:b/>
        </w:rPr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II. Do mérito e conclusões do relator</w:t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 xml:space="preserve">A propositura foi direcionada </w:t>
      </w:r>
      <w:r>
        <w:rPr>
          <w:rFonts w:eastAsia="Arial" w:cs="Arial" w:ascii="Arial" w:hAnsi="Arial"/>
          <w:sz w:val="24"/>
          <w:szCs w:val="24"/>
        </w:rPr>
        <w:t>à Comissão</w:t>
      </w:r>
      <w:r>
        <w:rPr>
          <w:rFonts w:eastAsia="Arial" w:cs="Arial" w:ascii="Arial" w:hAnsi="Arial"/>
          <w:sz w:val="24"/>
          <w:szCs w:val="24"/>
        </w:rPr>
        <w:t xml:space="preserve"> de Justiça e Redação, </w:t>
      </w:r>
      <w:r>
        <w:rPr>
          <w:rFonts w:eastAsia="Arial" w:cs="Arial" w:ascii="Arial" w:hAnsi="Arial"/>
          <w:sz w:val="24"/>
          <w:szCs w:val="24"/>
        </w:rPr>
        <w:t>a qual é responsável por analisar a legalidade e constitucionalidade do Projeto de lei,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que por sua vez, emitiu seu parecer favorável, e posteriormente foi encaminhada a esta comissão (de Obras, Serviços Públicos e Atividades privadas) </w:t>
      </w:r>
      <w:r>
        <w:rPr>
          <w:rFonts w:eastAsia="Arial" w:cs="Arial" w:ascii="Arial" w:hAnsi="Arial"/>
          <w:sz w:val="24"/>
          <w:szCs w:val="24"/>
        </w:rPr>
        <w:t xml:space="preserve">para análise </w:t>
      </w:r>
      <w:r>
        <w:rPr>
          <w:rFonts w:eastAsia="Arial" w:cs="Arial" w:ascii="Arial" w:hAnsi="Arial"/>
          <w:sz w:val="24"/>
          <w:szCs w:val="24"/>
        </w:rPr>
        <w:t>e também emissão de parecer, no âmbito de nossas atribuições previstas no regimento interno desta casa de Leis.</w:t>
      </w:r>
    </w:p>
    <w:p>
      <w:pPr>
        <w:pStyle w:val="Normal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ab/>
        <w:t xml:space="preserve">Neste sentido, passamos então a análise da proposição; 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Ao analisarmos o processo d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z w:val="24"/>
          <w:szCs w:val="24"/>
        </w:rPr>
        <w:t xml:space="preserve"> projeto, verificamos </w:t>
      </w:r>
      <w:r>
        <w:rPr>
          <w:rFonts w:cs="Arial" w:ascii="Arial" w:hAnsi="Arial"/>
          <w:sz w:val="24"/>
          <w:szCs w:val="24"/>
        </w:rPr>
        <w:t xml:space="preserve">que o executivo, na mensagem nº 109/11, expôs que </w:t>
      </w:r>
      <w:r>
        <w:rPr>
          <w:rFonts w:cs="Times New Roman" w:ascii="Arial" w:hAnsi="Arial"/>
          <w:sz w:val="24"/>
          <w:szCs w:val="24"/>
          <w:shd w:fill="FFFFFF" w:val="clear"/>
        </w:rPr>
        <w:t>busca definir um fundo específico para previsão e alocação de dotações e recursos financeiros para execução das ações propostas para o desenvolvimento da mobilidade urbana do Município.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Neste sentido, </w:t>
      </w:r>
      <w:r>
        <w:rPr>
          <w:rFonts w:cs="Arial" w:ascii="Arial" w:hAnsi="Arial"/>
          <w:sz w:val="24"/>
          <w:szCs w:val="24"/>
        </w:rPr>
        <w:t>o objetivo o fundo é individualizar recursos que entram nos cofres públicos municipais, que serão destinados a custear serviços e materiais relativos ao Transporte Público Coletivo.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 xml:space="preserve">Desta forma, levando em conta a iminente </w:t>
      </w:r>
      <w:r>
        <w:rPr>
          <w:rFonts w:cs="Arial" w:ascii="Arial" w:hAnsi="Arial"/>
          <w:sz w:val="24"/>
          <w:szCs w:val="24"/>
        </w:rPr>
        <w:t>necessidade que nosso município tem para sanar os problemas relativos a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z w:val="24"/>
          <w:szCs w:val="24"/>
        </w:rPr>
        <w:t xml:space="preserve"> transporte público </w:t>
      </w:r>
      <w:r>
        <w:rPr>
          <w:rFonts w:cs="Arial" w:ascii="Arial" w:hAnsi="Arial"/>
          <w:sz w:val="24"/>
          <w:szCs w:val="24"/>
        </w:rPr>
        <w:t>coletivo</w:t>
      </w:r>
      <w:r>
        <w:rPr>
          <w:rFonts w:cs="Arial" w:ascii="Arial" w:hAnsi="Arial"/>
          <w:sz w:val="24"/>
          <w:szCs w:val="24"/>
        </w:rPr>
        <w:t xml:space="preserve">, tendo em vista </w:t>
      </w:r>
      <w:r>
        <w:rPr>
          <w:rFonts w:cs="Arial" w:ascii="Arial" w:hAnsi="Arial"/>
          <w:sz w:val="24"/>
          <w:szCs w:val="24"/>
        </w:rPr>
        <w:t xml:space="preserve">as inúmeras reclamações que recebemos, e considerando que a criação de um fundo específico, que concentre os valores destinados a este tipo serviço em uma única conta bancária especial, </w:t>
      </w:r>
      <w:r>
        <w:rPr>
          <w:rFonts w:cs="Arial" w:ascii="Arial" w:hAnsi="Arial"/>
          <w:sz w:val="24"/>
          <w:szCs w:val="24"/>
        </w:rPr>
        <w:t>de titularidade do município</w:t>
      </w:r>
      <w:r>
        <w:rPr>
          <w:rFonts w:cs="Arial" w:ascii="Arial" w:hAnsi="Arial"/>
          <w:sz w:val="24"/>
          <w:szCs w:val="24"/>
        </w:rPr>
        <w:t xml:space="preserve">, nos termos do artigo 4º do referido projeto, </w:t>
      </w:r>
      <w:r>
        <w:rPr>
          <w:rFonts w:cs="Arial" w:ascii="Arial" w:hAnsi="Arial"/>
          <w:sz w:val="24"/>
          <w:szCs w:val="24"/>
        </w:rPr>
        <w:t>facilitará para a</w:t>
      </w:r>
      <w:r>
        <w:rPr>
          <w:rFonts w:cs="Arial" w:ascii="Arial" w:hAnsi="Arial"/>
          <w:sz w:val="24"/>
          <w:szCs w:val="24"/>
        </w:rPr>
        <w:t xml:space="preserve"> própria administração pública </w:t>
      </w:r>
      <w:r>
        <w:rPr>
          <w:rFonts w:cs="Arial" w:ascii="Arial" w:hAnsi="Arial"/>
          <w:sz w:val="24"/>
          <w:szCs w:val="24"/>
        </w:rPr>
        <w:t>administrar</w:t>
      </w:r>
      <w:r>
        <w:rPr>
          <w:rFonts w:cs="Arial" w:ascii="Arial" w:hAnsi="Arial"/>
          <w:sz w:val="24"/>
          <w:szCs w:val="24"/>
        </w:rPr>
        <w:t xml:space="preserve"> e organ</w:t>
      </w:r>
      <w:r>
        <w:rPr>
          <w:rFonts w:cs="Arial" w:ascii="Arial" w:hAnsi="Arial"/>
          <w:sz w:val="24"/>
          <w:szCs w:val="24"/>
        </w:rPr>
        <w:t>izar</w:t>
      </w:r>
      <w:r>
        <w:rPr>
          <w:rFonts w:cs="Arial" w:ascii="Arial" w:hAnsi="Arial"/>
          <w:sz w:val="24"/>
          <w:szCs w:val="24"/>
        </w:rPr>
        <w:t xml:space="preserve"> os valores de entrada e de saída destinados a este fim; de modo que, por consequência lógica, tendo </w:t>
      </w:r>
      <w:r>
        <w:rPr>
          <w:rFonts w:cs="Arial" w:ascii="Arial" w:hAnsi="Arial"/>
          <w:sz w:val="24"/>
          <w:szCs w:val="24"/>
        </w:rPr>
        <w:t xml:space="preserve">o Poder Público uma facilitação na administração destes recursos, </w:t>
      </w:r>
      <w:r>
        <w:rPr>
          <w:rFonts w:cs="Arial" w:ascii="Arial" w:hAnsi="Arial"/>
          <w:sz w:val="24"/>
          <w:szCs w:val="24"/>
        </w:rPr>
        <w:t xml:space="preserve">que deverão ser destinados para este serviço </w:t>
      </w:r>
      <w:r>
        <w:rPr>
          <w:rFonts w:cs="Arial" w:ascii="Arial" w:hAnsi="Arial"/>
          <w:sz w:val="24"/>
          <w:szCs w:val="24"/>
        </w:rPr>
        <w:t>específico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se espera</w:t>
      </w:r>
      <w:r>
        <w:rPr>
          <w:rFonts w:cs="Arial" w:ascii="Arial" w:hAnsi="Arial"/>
          <w:sz w:val="24"/>
          <w:szCs w:val="24"/>
        </w:rPr>
        <w:t xml:space="preserve"> que </w:t>
      </w:r>
      <w:r>
        <w:rPr>
          <w:rFonts w:cs="Arial" w:ascii="Arial" w:hAnsi="Arial"/>
          <w:sz w:val="24"/>
          <w:szCs w:val="24"/>
        </w:rPr>
        <w:t xml:space="preserve">sejam aplicados </w:t>
      </w:r>
      <w:r>
        <w:rPr>
          <w:rFonts w:cs="Arial" w:ascii="Arial" w:hAnsi="Arial"/>
          <w:sz w:val="24"/>
          <w:szCs w:val="24"/>
        </w:rPr>
        <w:t xml:space="preserve">da melhor forma, com uma consequente prestação de um </w:t>
      </w:r>
      <w:r>
        <w:rPr>
          <w:rFonts w:cs="Arial" w:ascii="Arial" w:hAnsi="Arial"/>
          <w:sz w:val="24"/>
          <w:szCs w:val="24"/>
        </w:rPr>
        <w:t>serviço de melhor qualidade</w:t>
      </w:r>
      <w:r>
        <w:rPr>
          <w:rFonts w:cs="Arial" w:ascii="Arial" w:hAnsi="Arial"/>
          <w:sz w:val="24"/>
          <w:szCs w:val="24"/>
        </w:rPr>
        <w:t>, portanto, entendemos ser válida tal criação.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ab/>
        <w:t>Por fim, não verificamos</w:t>
      </w:r>
      <w:r>
        <w:rPr>
          <w:rFonts w:eastAsia="Arial" w:cs="Arial" w:ascii="Arial" w:hAnsi="Arial"/>
          <w:sz w:val="24"/>
          <w:szCs w:val="24"/>
        </w:rPr>
        <w:t xml:space="preserve"> irregularidades na propositura ora analisada, motivo pelo qual não se verifica óbices para continuidade da proposta apresentada pelo </w:t>
      </w:r>
      <w:r>
        <w:rPr>
          <w:rFonts w:eastAsia="Arial" w:cs="Arial" w:ascii="Arial" w:hAnsi="Arial"/>
          <w:sz w:val="24"/>
          <w:szCs w:val="24"/>
        </w:rPr>
        <w:t>executivo municipal</w:t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</w:t>
      </w:r>
    </w:p>
    <w:p>
      <w:pPr>
        <w:pStyle w:val="Normal1"/>
        <w:spacing w:lineRule="atLeast" w:line="38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uppressAutoHyphens w:val="true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  <w:lang w:eastAsia="ar-SA"/>
        </w:rPr>
        <w:t>III. Substitutivos, Emendas ou subemendas ao Projeto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Comissão não propõe qualquer alteração ao projeto de lei em análise.</w:t>
      </w:r>
    </w:p>
    <w:p>
      <w:pPr>
        <w:pStyle w:val="Normal1"/>
        <w:spacing w:lineRule="atLeast" w:line="38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IV. Decisão das Comissões.</w:t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Neste sentido, diante das considerações expostas, encaminhamos o presente projeto para deliberação e votação em plenário, emitindo parecer </w:t>
      </w:r>
      <w:r>
        <w:rPr>
          <w:rFonts w:cs="Arial" w:ascii="Arial" w:hAnsi="Arial"/>
          <w:b/>
          <w:bCs/>
          <w:sz w:val="24"/>
          <w:szCs w:val="24"/>
        </w:rPr>
        <w:t>FAVORÁVEL.</w:t>
      </w:r>
    </w:p>
    <w:p>
      <w:pPr>
        <w:pStyle w:val="Normal1"/>
        <w:spacing w:lineRule="atLeast" w:line="380"/>
        <w:ind w:firstLine="72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1"/>
        <w:spacing w:lineRule="atLeast" w:line="380"/>
        <w:ind w:firstLine="72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 xml:space="preserve">Sala das Comissões, </w:t>
      </w: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>27 de outubro</w:t>
      </w: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 xml:space="preserve"> de 2022.</w:t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COMISSÃO DE OBRAS, SERVIÇOS PÚBLICOS E ATIVIDADES PRIVADAS.</w:t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Vereador Orivaldo Aparecido Magalhães</w:t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>Presidente/Relator</w:t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Vereador Geraldo Vicente Bertanha</w:t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>Vice-Presidente</w:t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Vereador Ademir Souza Floretti Junior</w:t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>Membro</w:t>
      </w:r>
    </w:p>
    <w:p>
      <w:pPr>
        <w:pStyle w:val="Normal1"/>
        <w:spacing w:lineRule="atLeast" w:line="38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985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 w:leader="none"/>
        <w:tab w:val="right" w:pos="8838" w:leader="none"/>
      </w:tabs>
      <w:ind w:right="360" w:hanging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 xml:space="preserve">Parecer ao PL </w:t>
    </w:r>
    <w:r>
      <w:rPr>
        <w:rFonts w:eastAsia="Arial" w:cs="Arial" w:ascii="Arial" w:hAnsi="Arial"/>
        <w:b/>
        <w:color w:val="000000"/>
        <w:sz w:val="24"/>
        <w:szCs w:val="24"/>
      </w:rPr>
      <w:t>15</w:t>
    </w:r>
    <w:r>
      <w:rPr>
        <w:rFonts w:eastAsia="Arial" w:cs="Arial" w:ascii="Arial" w:hAnsi="Arial"/>
        <w:b/>
        <w:color w:val="000000"/>
        <w:sz w:val="24"/>
        <w:szCs w:val="24"/>
      </w:rPr>
      <w:t>2</w:t>
    </w:r>
    <w:r>
      <w:rPr>
        <w:rFonts w:eastAsia="Arial" w:cs="Arial" w:ascii="Arial" w:hAnsi="Arial"/>
        <w:b/>
        <w:color w:val="000000"/>
        <w:sz w:val="24"/>
        <w:szCs w:val="24"/>
      </w:rPr>
      <w:t xml:space="preserve"> </w:t>
    </w:r>
    <w:r>
      <w:rPr>
        <w:rFonts w:eastAsia="Arial" w:cs="Arial" w:ascii="Arial" w:hAnsi="Arial"/>
        <w:b/>
        <w:color w:val="000000"/>
        <w:sz w:val="24"/>
        <w:szCs w:val="24"/>
      </w:rPr>
      <w:t xml:space="preserve">de 2022 – processo nº </w:t>
    </w:r>
    <w:r>
      <w:rPr>
        <w:rFonts w:eastAsia="Arial" w:cs="Arial" w:ascii="Arial" w:hAnsi="Arial"/>
        <w:b/>
        <w:color w:val="000000"/>
        <w:sz w:val="24"/>
        <w:szCs w:val="24"/>
      </w:rPr>
      <w:t>239</w:t>
    </w:r>
    <w:r>
      <w:rPr>
        <w:rFonts w:eastAsia="Arial" w:cs="Arial" w:ascii="Arial" w:hAnsi="Arial"/>
        <w:b/>
        <w:color w:val="000000"/>
        <w:sz w:val="24"/>
        <w:szCs w:val="24"/>
      </w:rPr>
      <w:t>/2022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 xml:space="preserve">Parecer ao PL </w:t>
    </w:r>
    <w:r>
      <w:rPr>
        <w:rFonts w:eastAsia="Arial" w:cs="Arial" w:ascii="Arial" w:hAnsi="Arial"/>
        <w:b/>
        <w:color w:val="000000"/>
        <w:sz w:val="24"/>
        <w:szCs w:val="24"/>
      </w:rPr>
      <w:t>15</w:t>
    </w:r>
    <w:r>
      <w:rPr>
        <w:rFonts w:eastAsia="Arial" w:cs="Arial" w:ascii="Arial" w:hAnsi="Arial"/>
        <w:b/>
        <w:color w:val="000000"/>
        <w:sz w:val="24"/>
        <w:szCs w:val="24"/>
      </w:rPr>
      <w:t>2</w:t>
    </w:r>
    <w:r>
      <w:rPr>
        <w:rFonts w:eastAsia="Arial" w:cs="Arial" w:ascii="Arial" w:hAnsi="Arial"/>
        <w:b/>
        <w:color w:val="000000"/>
        <w:sz w:val="24"/>
        <w:szCs w:val="24"/>
      </w:rPr>
      <w:t xml:space="preserve"> </w:t>
    </w:r>
    <w:r>
      <w:rPr>
        <w:rFonts w:eastAsia="Arial" w:cs="Arial" w:ascii="Arial" w:hAnsi="Arial"/>
        <w:b/>
        <w:color w:val="000000"/>
        <w:sz w:val="24"/>
        <w:szCs w:val="24"/>
      </w:rPr>
      <w:t xml:space="preserve">de 2022 – processo nº </w:t>
    </w:r>
    <w:r>
      <w:rPr>
        <w:rFonts w:eastAsia="Arial" w:cs="Arial" w:ascii="Arial" w:hAnsi="Arial"/>
        <w:b/>
        <w:color w:val="000000"/>
        <w:sz w:val="24"/>
        <w:szCs w:val="24"/>
      </w:rPr>
      <w:t>239</w:t>
    </w:r>
    <w:r>
      <w:rPr>
        <w:rFonts w:eastAsia="Arial" w:cs="Arial" w:ascii="Arial" w:hAnsi="Arial"/>
        <w:b/>
        <w:color w:val="000000"/>
        <w:sz w:val="24"/>
        <w:szCs w:val="24"/>
      </w:rPr>
      <w:t>/2022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3e6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1"/>
    <w:next w:val="Normal1"/>
    <w:qFormat/>
    <w:rsid w:val="00560f1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560f1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rsid w:val="00560f1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rsid w:val="00560f14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rsid w:val="00560f1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rsid w:val="00560f14"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styleId="RodapChar" w:customStyle="1">
    <w:name w:val="Rodapé Char"/>
    <w:basedOn w:val="DefaultParagraphFont"/>
    <w:uiPriority w:val="99"/>
    <w:semiHidden/>
    <w:qFormat/>
    <w:rsid w:val="00507a0b"/>
    <w:rPr/>
  </w:style>
  <w:style w:type="character" w:styleId="CabealhoChar" w:customStyle="1">
    <w:name w:val="Cabeçalho Char"/>
    <w:basedOn w:val="DefaultParagraphFont"/>
    <w:uiPriority w:val="99"/>
    <w:semiHidden/>
    <w:qFormat/>
    <w:rsid w:val="00507a0b"/>
    <w:rPr/>
  </w:style>
  <w:style w:type="character" w:styleId="Appletabspan" w:customStyle="1">
    <w:name w:val="apple-tab-span"/>
    <w:basedOn w:val="DefaultParagraphFont"/>
    <w:qFormat/>
    <w:rsid w:val="004550ef"/>
    <w:rPr/>
  </w:style>
  <w:style w:type="character" w:styleId="Strong">
    <w:name w:val="Strong"/>
    <w:basedOn w:val="DefaultParagraphFont"/>
    <w:uiPriority w:val="22"/>
    <w:qFormat/>
    <w:rsid w:val="00a27e40"/>
    <w:rPr>
      <w:b/>
      <w:bCs/>
    </w:rPr>
  </w:style>
  <w:style w:type="character" w:styleId="Hgkelc" w:customStyle="1">
    <w:name w:val="hgkelc"/>
    <w:basedOn w:val="DefaultParagraphFont"/>
    <w:qFormat/>
    <w:rsid w:val="00304c5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customStyle="1">
    <w:name w:val="Normal1"/>
    <w:qFormat/>
    <w:rsid w:val="00560f1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dodocumento">
    <w:name w:val="Title"/>
    <w:basedOn w:val="Normal1"/>
    <w:next w:val="Normal1"/>
    <w:qFormat/>
    <w:rsid w:val="00560f14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rsid w:val="00560f1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paragraph" w:styleId="Normal2" w:customStyle="1">
    <w:name w:val="Normal2"/>
    <w:qFormat/>
    <w:rsid w:val="00af7fa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5b1e2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LibreOffice/7.3.2.2$Windows_X86_64 LibreOffice_project/49f2b1bff42cfccbd8f788c8dc32c1c309559be0</Application>
  <AppVersion>15.0000</AppVersion>
  <Pages>4</Pages>
  <Words>658</Words>
  <Characters>3650</Characters>
  <CharactersWithSpaces>4293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2021-12-06T11:31:00Z</dcterms:created>
  <dc:creator>FERNANDO</dc:creator>
  <dc:description/>
  <dc:language>pt-BR</dc:language>
  <cp:lastModifiedBy/>
  <cp:lastPrinted>2022-10-27T11:25:38Z</cp:lastPrinted>
  <dcterms:modified xsi:type="dcterms:W3CDTF">2022-10-27T11:25:29Z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