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DA COMISSÃO DE OBRAS, SERVIÇOS PÚBLICOS E ATIVIDADES PRIVADAS.</w:t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Parecer n.º </w:t>
      </w:r>
      <w:bookmarkStart w:id="0" w:name="_GoBack"/>
      <w:bookmarkEnd w:id="0"/>
      <w:r>
        <w:rPr>
          <w:rFonts w:eastAsia="Arial" w:cs="Arial" w:ascii="Arial" w:hAnsi="Arial"/>
          <w:b/>
          <w:sz w:val="24"/>
          <w:szCs w:val="24"/>
        </w:rPr>
        <w:t>18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Projeto de Lei n.º 143 de 2022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Processo nº: 232 de 2022.</w:t>
      </w:r>
    </w:p>
    <w:p>
      <w:pPr>
        <w:pStyle w:val="Normal1"/>
        <w:spacing w:lineRule="auto" w:line="276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ab/>
      </w:r>
      <w:r>
        <w:rPr>
          <w:rFonts w:eastAsia="Arial" w:cs="Arial" w:ascii="Arial" w:hAnsi="Arial"/>
          <w:sz w:val="24"/>
          <w:szCs w:val="24"/>
        </w:rPr>
        <w:t>Conforme determina o artigo 38 do Regimento Interno</w:t>
      </w:r>
      <w:r>
        <w:rPr>
          <w:rFonts w:eastAsia="Calibri" w:cs="Calibri" w:ascii="Arial" w:hAnsi="Arial"/>
          <w:sz w:val="24"/>
          <w:szCs w:val="24"/>
        </w:rPr>
        <w:t xml:space="preserve"> (Resolução n.º 276 de 09 de novembro de 2.010) compete a Comissão de Obras e Serviços Públicos e Atividades </w:t>
      </w:r>
      <w:r>
        <w:rPr>
          <w:rFonts w:eastAsia="Calibri" w:cs="Arial" w:ascii="Arial" w:hAnsi="Arial"/>
          <w:sz w:val="24"/>
          <w:szCs w:val="24"/>
        </w:rPr>
        <w:t xml:space="preserve">Privadas </w:t>
      </w:r>
      <w:r>
        <w:rPr>
          <w:rFonts w:cs="Arial" w:ascii="Arial" w:hAnsi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cuja relatoria ficou a cargo do vereador </w:t>
      </w:r>
      <w:r>
        <w:rPr>
          <w:rFonts w:eastAsia="Arial" w:cs="Arial" w:ascii="Arial" w:hAnsi="Arial"/>
          <w:b/>
          <w:bCs/>
          <w:sz w:val="24"/>
          <w:szCs w:val="24"/>
          <w:u w:val="none"/>
        </w:rPr>
        <w:t>Orivaldo Aparecido Magalhães.</w:t>
      </w:r>
      <w:bookmarkStart w:id="1" w:name="_GoBack1"/>
      <w:bookmarkEnd w:id="1"/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I. Exposição da Matéria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nobre vereador Marcos Antonio Franco, encaminhou a esta Casa de Leis o Projeto de Lei nº 143/2022, que dispõe sobre a revogação dos artigos 1º e 5º da Lei Municipal nº 5.139 de 12 de agosto de 2011.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Destaca-se que os dispositivos que o projeto pretende revogar estabelecem a proibição de utilização de celulares e de rádios de comunicação no interior das agências bancárias. 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Portanto, sendo estes dispositivos revogados, será permitido utilizar os referidos equipamentos dentro das agências bancárias.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Neste sentido, de acordo com a justificativa apresentada pelo vereador; o projeto possui como base a evolução do mundo digital e a importante ferramenta que se tornaram os smartfones, tendo em vista que são utilizados para o acesso de aplicativos de tais instituições financeiras. 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II. Do mérito e conclusões do relator</w:t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A propositura foi direcionada à Comissão de Justiça e Redação, a qual é responsável por analisar a legalidade e constitucionalidade do Projeto de lei, que por sua vez, emitiu seu parecer favorável, e posteriormente foi encaminhada a esta comissão (de Obras, Serviços Públicos e Atividades privadas) para análise e também emissão de parecer, no âmbito de nossas atribuições previstas no regimento interno desta casa de Leis.</w:t>
      </w:r>
    </w:p>
    <w:p>
      <w:pPr>
        <w:pStyle w:val="Normal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ab/>
        <w:t xml:space="preserve">Neste sentido, passamos então a análise da proposição;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Ao analisarmos o processo do projeto, verificamos q</w:t>
      </w:r>
      <w:r>
        <w:rPr>
          <w:rFonts w:cs="Times New Roman" w:ascii="Arial" w:hAnsi="Arial"/>
          <w:sz w:val="24"/>
          <w:szCs w:val="24"/>
          <w:shd w:fill="FFFFFF" w:val="clear"/>
        </w:rPr>
        <w:t>ue foi anexado aos autos Nota Técnica da Federação Brasileira de Bancos – FEBRABAN, sobre o respectivo projeto de lei.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Algumas considerações da respectiva Federação, que se destacam, são no seguinte sentido: de que a proibição de utilização de celulares nas agências bancárias mostra-se contrária ao interesse público, pois com o desenvolvimento da tecnologia, os celulares passaram a ser utilizados como mecanismos adicionais de segurança para a efetivação de transações bancárias; que o celular também é meio de inclusão da pessoa com deficiência na sociedade, pois grande parte dos deficientes visuais possuem dispositivos com leitor de tela em seus celulares, que permitem, por exemplo, a realização de operações em caixas eletrônicos sem a necessidade de auxílios de terceiros, o que confere autonomia a estas pessoas.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Frisa-se, que, a nota técnica da FEBRABAN, em seu inteiro teor, foi mas ampla do que o objeto do referido projeto de lei, uma vez que discorreu também sobre os biombos/divisórias nas agências bancárias.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Todavia, é importante destacar que o projeto de lei se restringe apenas à revogação dos dispositivos que proíbem a utilização de celulares e rádios de comunicação no interior das agências bancárias, de modo que, o projeto não visa revogar os artigos da lei que estabelecem a necessidade de instalação de divisórias.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Sendo assim, considerando os motivos expostos, tanto na justificativa do nobre vereador Marcos Antonio Franco, quanto na nota técnica da Federação Brasileira de Bancos, entendemos que a liberação da utilização de aparelhos celulares e de rádios de comunicação no interior das agências bancárias possui fundamentos que devem ser considerados.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Entendemos que nos dias de hoje, o aparelho celular acaba fazendo parte da vida do cidadão, de modo que, até o próprio acesso à instituição bancária, por vezes, acaba sendo vinculado a este dispositivo, como por exemplo: a necessidade do uso de aplicativos bancários.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Todavia, é importante destacar que, as instituições financeiras, por meio de seus seguranças, devem observar e repreender qualquer atitude considerada como suspeita de possível crime, seja por meio físico ou eletrônico, a fim de promover segurança aos consumidores.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>Por fim, não verificamos</w:t>
      </w:r>
      <w:r>
        <w:rPr>
          <w:rFonts w:eastAsia="Arial" w:cs="Arial" w:ascii="Arial" w:hAnsi="Arial"/>
          <w:sz w:val="24"/>
          <w:szCs w:val="24"/>
        </w:rPr>
        <w:t xml:space="preserve"> irregularidades na propositura ora analisada, motivo pelo qual não se verifica óbices para continuidade da proposta apresentada pelo nobre vereador.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IV. Decisão das Comissões.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cs="Arial" w:ascii="Arial" w:hAnsi="Arial"/>
          <w:b/>
          <w:bCs/>
          <w:sz w:val="24"/>
          <w:szCs w:val="24"/>
        </w:rPr>
        <w:t>FAVORÁVEL.</w:t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 xml:space="preserve">Sala das Comissões, </w:t>
      </w: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03 de novembro</w:t>
      </w: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 xml:space="preserve"> de 2022.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COMISSÃO DE OBRAS, SERVIÇOS PÚBLICOS E ATIVIDADES PRIVADAS.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Orivaldo Aparecido Magalhães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Presidente/Relator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Geraldo Vicente Bertanha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Vice-Presidente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Ademir Souza Floretti Junior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Parecer ao PL 143 de 2022 – processo nº 232/2022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Parecer ao PL 143 de 2022 – processo nº 232/2022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e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styleId="Hgkelc" w:customStyle="1">
    <w:name w:val="hgkelc"/>
    <w:basedOn w:val="DefaultParagraphFont"/>
    <w:qFormat/>
    <w:rsid w:val="00304c5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560f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styleId="Normal2" w:customStyle="1">
    <w:name w:val="Normal2"/>
    <w:qFormat/>
    <w:rsid w:val="00af7f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LibreOffice/7.3.2.2$Windows_X86_64 LibreOffice_project/49f2b1bff42cfccbd8f788c8dc32c1c309559be0</Application>
  <AppVersion>15.0000</AppVersion>
  <Pages>4</Pages>
  <Words>852</Words>
  <Characters>4700</Characters>
  <CharactersWithSpaces>5541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2021-12-06T11:31:00Z</dcterms:created>
  <dc:creator>FERNANDO</dc:creator>
  <dc:description/>
  <dc:language>pt-BR</dc:language>
  <cp:lastModifiedBy/>
  <cp:lastPrinted>2022-11-01T15:59:42Z</cp:lastPrinted>
  <dcterms:modified xsi:type="dcterms:W3CDTF">2022-11-03T10:47:16Z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