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RELATÓRIO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Projeto de Lei n.º </w:t>
      </w:r>
      <w:r w:rsidDel="00000000" w:rsidR="00000000" w:rsidRPr="00000000">
        <w:rPr>
          <w:b w:val="1"/>
          <w:sz w:val="26"/>
          <w:szCs w:val="26"/>
          <w:rtl w:val="0"/>
        </w:rPr>
        <w:t xml:space="preserve">113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Processo nº </w:t>
      </w:r>
      <w:r w:rsidDel="00000000" w:rsidR="00000000" w:rsidRPr="00000000">
        <w:rPr>
          <w:b w:val="1"/>
          <w:sz w:val="26"/>
          <w:szCs w:val="26"/>
          <w:rtl w:val="0"/>
        </w:rPr>
        <w:t xml:space="preserve">168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Autora: Vereadora Sonia Regina Rodrigues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 Exposição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Nobre Vereadora Sonia Regina Rodrigues protocolou nesta Casa de Leis o Projeto de Lei n° 113 de 2022, que </w:t>
      </w:r>
      <w:r w:rsidDel="00000000" w:rsidR="00000000" w:rsidRPr="00000000">
        <w:rPr>
          <w:b w:val="1"/>
          <w:sz w:val="26"/>
          <w:szCs w:val="26"/>
          <w:rtl w:val="0"/>
        </w:rPr>
        <w:t xml:space="preserve">“Dispõe sobre o registro e chipagem de animais domésticos no Município de Mogi Mirim".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Propositura em análise também propõe, diante do alto índice de abandono de animais no Município e a dificuldade de identificação de seus donos, a obrigatoriedade da utilização do microchip, que constitui forma segura, permanente e eficaz de identificação do animal. Em síntese, a autora sustenta que </w:t>
      </w:r>
      <w:r w:rsidDel="00000000" w:rsidR="00000000" w:rsidRPr="00000000">
        <w:rPr>
          <w:i w:val="1"/>
          <w:sz w:val="26"/>
          <w:szCs w:val="26"/>
          <w:rtl w:val="0"/>
        </w:rPr>
        <w:t xml:space="preserve">"a microchipagem eleva a segurança dos animais, ampliando, inclusive, as chances de recuperá-lo em caso de fuga e furto, além de contribuir para a redução dos índices do abandono".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Do mérito e conclusões do relator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Cumpre destacar que a Comissão de Justiça e Redação requereu parecer da SGP - Soluções em Gestão Pública - parecer técnico-jurídico da matéria gerando a CONSULTA/0345/2022/MN/G de 12 de agosto 2022, com parecer pela constitucionalidade da matéria.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matéria não encontra óbices legais, estando amparada no art. 12, inciso I e II da Lei Orgânica do Município de Mogi Mirim. Neste mesmo sentido,  artigo 30, inciso I, da Carta Magna, permite que o Município edite leis sempre que a questão social envolve algum interesse local, como é o caso em comento. Destaca-se também que o inciso II do mesmo artigo prevê a autonomia municipal em suplementar a legislação federal e estadual:</w:t>
      </w:r>
    </w:p>
    <w:p w:rsidR="00000000" w:rsidDel="00000000" w:rsidP="00000000" w:rsidRDefault="00000000" w:rsidRPr="00000000" w14:paraId="00000012">
      <w:pPr>
        <w:shd w:fill="ffffff" w:val="clear"/>
        <w:spacing w:after="200" w:before="200" w:line="276" w:lineRule="auto"/>
        <w:ind w:left="4320" w:firstLine="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“Art. 30. Compete aos Municípios:</w:t>
      </w:r>
    </w:p>
    <w:p w:rsidR="00000000" w:rsidDel="00000000" w:rsidP="00000000" w:rsidRDefault="00000000" w:rsidRPr="00000000" w14:paraId="00000013">
      <w:pPr>
        <w:shd w:fill="ffffff" w:val="clear"/>
        <w:spacing w:after="200" w:before="200" w:line="276" w:lineRule="auto"/>
        <w:ind w:left="4320" w:firstLine="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4">
      <w:pPr>
        <w:shd w:fill="ffffff" w:val="clear"/>
        <w:spacing w:after="200" w:before="200" w:line="276" w:lineRule="auto"/>
        <w:ind w:left="4320" w:firstLine="0"/>
        <w:jc w:val="both"/>
        <w:rPr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II - suplementar a legislação federal e a estadual no que couber; </w:t>
      </w:r>
      <w:r w:rsidDel="00000000" w:rsidR="00000000" w:rsidRPr="00000000">
        <w:rPr>
          <w:i w:val="1"/>
          <w:sz w:val="26"/>
          <w:szCs w:val="26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plano material, o projeto também encontra respaldo, eis que se relaciona com a temática de proteção aos animais, que integram o meio ambiente, cuja preservação é dever do Estado por meio de todos os seus entes federativos, conforme o art. 225 da Constituição Federal.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“Art. 225. Todos têm direito ao meio ambiente ecologicamente equilibrado, bem de uso comum do povo e essencial à sadia qualidade de vida, impondo-se ao Poder Público e à coletividade o dever de defendê-lo e preservá- lo para as presentes e futuras gerações.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§ 1º Para assegurar a efetividade desse direito, incumbe ao Poder Público: (...)</w:t>
      </w:r>
    </w:p>
    <w:p w:rsidR="00000000" w:rsidDel="00000000" w:rsidP="00000000" w:rsidRDefault="00000000" w:rsidRPr="00000000" w14:paraId="00000018">
      <w:pPr>
        <w:shd w:fill="ffffff" w:val="clear"/>
        <w:spacing w:after="200" w:before="200" w:line="276" w:lineRule="auto"/>
        <w:ind w:left="3600" w:firstLine="72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VII - proteger a fauna e a flora, vedadas, na forma da lei, as práticas que coloquem em risco sua função ecológica, provoquem a extinção de espécies ou submetam os animais a crueldade.”</w:t>
      </w:r>
    </w:p>
    <w:p w:rsidR="00000000" w:rsidDel="00000000" w:rsidP="00000000" w:rsidRDefault="00000000" w:rsidRPr="00000000" w14:paraId="00000019">
      <w:pPr>
        <w:shd w:fill="ffffff" w:val="clear"/>
        <w:spacing w:after="200" w:before="200" w:line="276" w:lineRule="auto"/>
        <w:ind w:left="0" w:firstLine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ab/>
        <w:t xml:space="preserve">Ainda na seara material da Propositura em epígrafe, o inciso XXX do artigo 12 da Lei Orgânica de Mogi Mirim, prevê como competência do Município o registro de animais domésticos: </w:t>
      </w: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XXX – dispor sobre registro, vacinação, captura e destinação de animais, bem como a criação destes na zona urbana.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00" w:before="200" w:line="276" w:lineRule="auto"/>
        <w:ind w:lef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Outrossim, o Projeto ora analisado guarda conformidade com a legislação vigente no Estado de São Paulo. Trata-se da Lei nº 12.916 de 2008, que estabelece que o incentivo a viabilização e o desenvolvimento de programas que visem o controle reprodutivo de cães e gatos e a promoção de medidas protetivas por meio de identificação, registro e outras formas de proteção ao bem estar animal.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Em relação ao aspecto gramatical e lógico, verifica-se que houve respeito às regras ortográficas e técnica legislativa, não havendo apontamentos neste sentido.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Ressaltamos que a propositura em análise pode acarretar em aumento de gastos por parte do Poder Executivo, neste sentido, este relator destaca que no âmbito jurídico, o Tema n° 917 do Supremo Tribunal Federal consignou que </w:t>
      </w:r>
      <w:r w:rsidDel="00000000" w:rsidR="00000000" w:rsidRPr="00000000">
        <w:rPr>
          <w:i w:val="1"/>
          <w:sz w:val="26"/>
          <w:szCs w:val="26"/>
          <w:rtl w:val="0"/>
        </w:rPr>
        <w:t xml:space="preserve">“não usurpa competência privativa do Chefe do poder Executivo lei que, embora crie despesa para a Administração, não trata de sua estrutura ou da atribuição de seus órgãos nem do regime jurídico de seus servidores”. </w:t>
      </w:r>
      <w:r w:rsidDel="00000000" w:rsidR="00000000" w:rsidRPr="00000000">
        <w:rPr>
          <w:sz w:val="26"/>
          <w:szCs w:val="26"/>
          <w:rtl w:val="0"/>
        </w:rPr>
        <w:t xml:space="preserve">Entretanto, considerando que é preciso se ater às responsabilidades fiscais que envolvem todo o poder público, solicitamos à presidência desta Casa de Leis que o Projeto de Lei em estudo passe também pela Comissão Permanente de Finanças e Orçamento, para que o mesmo seja analisado na questão de sua execução financeira, caso aprovado por esta Câmara Municipal.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Portanto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seja no âmbito jurídico</w:t>
      </w:r>
      <w:r w:rsidDel="00000000" w:rsidR="00000000" w:rsidRPr="00000000">
        <w:rPr>
          <w:sz w:val="26"/>
          <w:szCs w:val="26"/>
          <w:rtl w:val="0"/>
        </w:rPr>
        <w:t xml:space="preserve"> 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gramatical não se vislumbra irregularidades na propositura ora analisada, motivo pelo qual não se verifica óbice para continuidade da proposta apresentada pel</w:t>
      </w:r>
      <w:r w:rsidDel="00000000" w:rsidR="00000000" w:rsidRPr="00000000">
        <w:rPr>
          <w:sz w:val="26"/>
          <w:szCs w:val="26"/>
          <w:rtl w:val="0"/>
        </w:rPr>
        <w:t xml:space="preserve">a nobre vereadora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III. Substitutivos, Emendas ou subemendas ao Projeto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  <w:tab/>
        <w:t xml:space="preserve">O Relator não propõe qualquer alteração ao Projeto de Lei sob análise.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IV. Decisão do Relator.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Del="00000000" w:rsidR="00000000" w:rsidRPr="00000000">
        <w:rPr>
          <w:b w:val="1"/>
          <w:sz w:val="26"/>
          <w:szCs w:val="26"/>
          <w:rtl w:val="0"/>
        </w:rPr>
        <w:t xml:space="preserve">FAVORÁVEL.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Presidente /relator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N.º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/2022 DA COMISSÃO DE JUSTIÇA E REDAÇÃO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20"/>
        <w:jc w:val="both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Seguindo o Voto exarado pelo Relator e conforme determina o artigo 35</w:t>
      </w:r>
      <w:r w:rsidDel="00000000" w:rsidR="00000000" w:rsidRPr="00000000">
        <w:rPr>
          <w:sz w:val="26"/>
          <w:szCs w:val="26"/>
          <w:rtl w:val="0"/>
        </w:rPr>
        <w:t xml:space="preserve">, combinado com artigo 45 da Resolução n°  276 de 09 de novembro de 2.010, Regimento Interno da Câmara Municipal de Mogi Mirim, a Comissões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de Justiça</w:t>
      </w:r>
      <w:r w:rsidDel="00000000" w:rsidR="00000000" w:rsidRPr="00000000">
        <w:rPr>
          <w:sz w:val="26"/>
          <w:szCs w:val="26"/>
          <w:rtl w:val="0"/>
        </w:rPr>
        <w:t xml:space="preserve"> formaliza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o presente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FAVORÁVEL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03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 de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outubro 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 2022.</w:t>
      </w:r>
    </w:p>
    <w:p w:rsidR="00000000" w:rsidDel="00000000" w:rsidP="00000000" w:rsidRDefault="00000000" w:rsidRPr="00000000" w14:paraId="0000003B">
      <w:pPr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u w:val="single"/>
          <w:rtl w:val="0"/>
        </w:rPr>
        <w:t xml:space="preserve">COMISSÃO DE JUSTIÇA E REDAÇÃO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3F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 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Presidente / RELATOR</w:t>
      </w:r>
    </w:p>
    <w:p w:rsidR="00000000" w:rsidDel="00000000" w:rsidP="00000000" w:rsidRDefault="00000000" w:rsidRPr="00000000" w14:paraId="00000044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VEREADORA MARA CRISTINA CHOQUETTA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4D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VEREADORA DR. LÚCIA MARIA FERREIRA TENÓRIO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Membro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jc w:val="center"/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0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1115.4330708661405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