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Projeto de Lei n.º 112/2022</w:t>
      </w:r>
    </w:p>
    <w:p>
      <w:pPr>
        <w:pStyle w:val="Corpodotexto"/>
        <w:bidi w:val="0"/>
        <w:spacing w:lineRule="auto" w:line="240" w:before="0" w:after="0"/>
        <w:contextualSpacing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Processo nº 167/2022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Conforme determina o artigo 35 da Resolução 276 de 09 de novembro de 2010 – Regimento Interno da Câmara Municipal, a Comissão Permanente de Justiça e Redação emite o presente Relatório acerca do Projeto de Lei nº 112/2022, de autoria da Exma. Vereadora Sra. Sônia Regina Rodrigues Módena, sob relatoria da Vereadora Mara Cristina Choquetta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A Excelentíssima Senhora Vereadora Sônia Regina Rodrigues Módena protocolou nesta Casa de Leis o Projeto de Lei nº 112/2022,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DISPÕE SOBRE O ACESSO DE ANIMAIS DOMÉSTICOS AOS ABRIGOS DESTINADO AO ATENDIMENTO DAS PESSOAS EM SITUAÇÃO DE RUA, E DÁ OUTRAS PROVIDÊNCIAS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.”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autora justifica a apresentação do projeto, argumentando que a maioria das pessoas que vivem em situação de rua possuem como último laço de afeto seu animal de estimação,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tendo perdido todos demais laços familiares e fraternos. O animal 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 pessoa em situação de rua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encontra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um re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lacionamento de mútua ajuda, proteção, companheirismo e amizade.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Por isso, a iniciativa do projeto que busca garantir a estas pessoas, que quando procurarem um local (abrigo) destinado ao atendimento desta população, seja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assegurado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o direito do acesso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estes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animais.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da relatora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240" w:after="24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Inicialmente verifica-se que o projeto se encontra em conformidade com artigo 30, incisos I, da Constituição Federal, uma vez que se trata de assunto de interesse local, suplementando legislações dos demais entes da federação: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Art. 30. Compete aos Municípios:</w:t>
      </w:r>
    </w:p>
    <w:p>
      <w:pPr>
        <w:pStyle w:val="Corpodotexto"/>
        <w:shd w:val="clear" w:fill="FFFFFF"/>
        <w:bidi w:val="0"/>
        <w:spacing w:lineRule="auto" w:line="240" w:before="0" w:after="200"/>
        <w:ind w:left="3540" w:right="0" w:hanging="0"/>
        <w:jc w:val="both"/>
        <w:rPr>
          <w:rFonts w:ascii="Calibri" w:hAnsi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 - legislar sobre assuntos de interesse local;</w:t>
      </w:r>
    </w:p>
    <w:p>
      <w:pPr>
        <w:pStyle w:val="Corpodotexto"/>
        <w:shd w:val="clear" w:fill="FFFFFF"/>
        <w:bidi w:val="0"/>
        <w:spacing w:lineRule="auto" w:line="240" w:before="0" w:after="200"/>
        <w:ind w:left="3540" w:right="0" w:hanging="0"/>
        <w:jc w:val="both"/>
        <w:rPr>
          <w:rFonts w:ascii="Calibri" w:hAnsi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II - suplementar a legislação federal e a estadual no que couber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Concomitantemente, </w:t>
      </w:r>
      <w:r>
        <w:rPr>
          <w:rFonts w:ascii="Calibri" w:hAnsi="Calibri"/>
          <w:sz w:val="26"/>
          <w:szCs w:val="26"/>
        </w:rPr>
        <w:t>vale citar que a execução de programas sociais, cabe</w:t>
      </w:r>
      <w:r>
        <w:rPr>
          <w:rFonts w:ascii="Calibri" w:hAnsi="Calibri"/>
          <w:sz w:val="26"/>
          <w:szCs w:val="26"/>
        </w:rPr>
        <w:t>m</w:t>
      </w:r>
      <w:r>
        <w:rPr>
          <w:rFonts w:ascii="Calibri" w:hAnsi="Calibri"/>
          <w:sz w:val="26"/>
          <w:szCs w:val="26"/>
        </w:rPr>
        <w:t xml:space="preserve"> aos estados e aos municípios, conforme previsto no Art. 204 da Constituição Feder</w:t>
      </w:r>
      <w:r>
        <w:rPr>
          <w:rFonts w:ascii="Calibri" w:hAnsi="Calibri"/>
          <w:sz w:val="26"/>
          <w:szCs w:val="26"/>
        </w:rPr>
        <w:t>al.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“</w:t>
      </w:r>
      <w:r>
        <w:rPr>
          <w:rFonts w:ascii="Calibri" w:hAnsi="Calibri"/>
          <w:i/>
          <w:iCs/>
          <w:sz w:val="24"/>
          <w:szCs w:val="24"/>
        </w:rPr>
        <w:t>Art. 204. As ações governamentais na área da assistência social serão realizadas com recursos do orçamento da seguridade social, previstos no art. 195, além de outras fontes, e organizadas com base nas seguintes diretrizes: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I - descentralização político-administrativa, cabendo a coordenação e as normas gerais à esfera federal e a coordenação e a </w:t>
      </w:r>
      <w:r>
        <w:rPr>
          <w:rFonts w:ascii="Calibri" w:hAnsi="Calibri"/>
          <w:i/>
          <w:iCs/>
          <w:sz w:val="24"/>
          <w:szCs w:val="24"/>
          <w:u w:val="single"/>
        </w:rPr>
        <w:t>execução dos respectivos programas às esferas estadual e municipal</w:t>
      </w:r>
      <w:r>
        <w:rPr>
          <w:rFonts w:ascii="Calibri" w:hAnsi="Calibri"/>
          <w:i/>
          <w:iCs/>
          <w:sz w:val="24"/>
          <w:szCs w:val="24"/>
        </w:rPr>
        <w:t>, bem como a entidades beneficentes e de assistência social;”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hanging="0"/>
        <w:jc w:val="both"/>
        <w:rPr/>
      </w:pPr>
      <w:r>
        <w:rPr/>
      </w:r>
    </w:p>
    <w:p>
      <w:pPr>
        <w:pStyle w:val="Corpodotexto"/>
        <w:shd w:val="clear" w:fill="FFFFFF"/>
        <w:bidi w:val="0"/>
        <w:spacing w:lineRule="auto" w:line="240" w:before="0" w:after="200"/>
        <w:ind w:left="0" w:right="0" w:firstLine="58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Do mesmo modo, a disposição da Propositura se enquadra no art.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3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da Lei Orgânica do Município de Mogi Mirim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hanging="0"/>
        <w:jc w:val="both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“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 xml:space="preserve">Art. 13. Compete ao Município legislar concorrentemente com a União e suplementar as legislações Federal e Estadual, resguardando as respectivas Constituições no que couber, e, especialmente, no que tange à saúde, 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single"/>
        </w:rPr>
        <w:t>à assistência social pública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, à pessoa com deficiência, à segurança no trabalho, à proteção de bens de valor histórico, artístico e cultural, aos monumentos, às paisagens naturais notáveis, os sítios arqueológicos, ao meio ambiente, à cultura, à educação, à ciência, ao esporte, ao lazer, à produção agropecuária, à moradia popular, ao saneamento básico, ao direito do consumidor, à Guarda Municipal, à educação para a segurança do trânsito, combatendo as atividades que violarem as normas de saúde, sossego, higiene, segurança, funcionalidade, moralidade e outras de interesse da coletividade.”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Desta forma, verificamos que o município possui atribuição legal para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dispor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de maneira geral sobre o assunto em tela, em consonância com a Constituição Federal e Lei Orgânica do Município.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No tocante à iniciativa para deflagrar o processo legislativo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vale ressaltar que o Poder Legislativo pode, de forma concorrente, legislar sobre a implementação de políticas públicas de assistência social, desde que, não implique na criação, reestruturação ou fixação de novas atribuições das secretarias municipais, competência esta que é atribuição exclusiva do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Chefe do Poder Executivo.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Importante pontuar que o projeto de lei foi formulado com base em uma lei municipal de Valinhos/SP (nº 6.191/21), de autoria do poder legislativ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 municipal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e que versa sobre o mesmo tema. Tal normativa foi alvo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uma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Ação Direta de Inconstitucionalidade – ADI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(nº 200167-21.2022.8.26.0000 -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anexa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)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pela Prefeitura Municipal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de Valinhos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 por entender que a legislação invade a esfera d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prerrogativas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exclusivas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do Poder Executivo. 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Poder Judiciário julgou o tema e declarou a inconstitucionalidade parcial da referida lei,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excluindo alguns artigos, mas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mantendo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ideia central e principal da legislação. 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T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ribunal entendeu que haveria vícios de iniciativa e ofensa ao princípio de separação harmônica dos poderes, apenas nos dispositivos que impunham obrigações à Administração ou a seus parceiros conveniados, determinando de forma direta, concreta e específica, sem margem de escolha, excedendo suas prerrogativas em atividade típica de administração reservad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ao Poder Executivo. 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 proposiçã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 da Sra. Vereadora Sônia Regina Rodrigues 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ó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dena levou em consideração o Acórdão do Tribunal de Justiça de São Paulo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excluiu da redação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do Projeto de Lei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, os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dispositivos q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ue foram declarados inconstitucionai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s,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permanecendo apenas os artigos que foram preservados pelo colegiado para manutenção de sua legalidade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. 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Diante de todo exposto, considerando a competência concorrente sobre o tema, não se verifica óbices para continuidade da proposta.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Esta relatoria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não possui emendas 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prop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or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08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novem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spacing w:lineRule="auto" w:line="240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PARECER FAVORÁVEL N.º       /2022 DA COMISSÃO DE JUSTIÇA E REDAÇÃO</w:t>
      </w:r>
    </w:p>
    <w:p>
      <w:pPr>
        <w:pStyle w:val="Corpodotexto"/>
        <w:bidi w:val="0"/>
        <w:spacing w:lineRule="auto" w:line="240" w:before="240" w:after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Seguindo o Voto exarado pela Relatora e conforme determina o artigo 35 da Resolução n.º 276 de 09 de novembro de 2.010, a Comissão de Justiça e Redação formaliza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08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novem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u w:val="single"/>
          <w:shd w:fill="FFFFFF" w:val="clear"/>
        </w:rPr>
      </w:pPr>
      <w:r>
        <w:rPr>
          <w:rFonts w:cs="Arial"/>
          <w:b/>
          <w:bCs/>
          <w:color w:val="000000"/>
          <w:u w:val="single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bidi w:val="0"/>
        <w:spacing w:lineRule="auto" w:line="240" w:before="240" w:after="240"/>
        <w:ind w:left="0" w:right="0" w:firstLine="720"/>
        <w:contextualSpacing/>
        <w:jc w:val="center"/>
        <w:rPr>
          <w:rFonts w:ascii="Calibri" w:hAnsi="Calibri"/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4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A17B7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18903</TotalTime>
  <Application>LibreOffice/7.3.1.3$Windows_X86_64 LibreOffice_project/a69ca51ded25f3eefd52d7bf9a5fad8c90b87951</Application>
  <AppVersion>15.0000</AppVersion>
  <Pages>4</Pages>
  <Words>940</Words>
  <Characters>5255</Characters>
  <CharactersWithSpaces>6179</CharactersWithSpaces>
  <Paragraphs>50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2022-11-08T13:52:49Z</cp:lastPrinted>
  <dcterms:modified xsi:type="dcterms:W3CDTF">2022-11-08T13:54:09Z</dcterms:modified>
  <cp:revision>144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