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Relatório</w:t>
      </w:r>
    </w:p>
    <w:p>
      <w:pPr>
        <w:pStyle w:val="Normal"/>
        <w:spacing w:before="0" w:after="240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n.º 163/ 2021</w:t>
      </w:r>
    </w:p>
    <w:p>
      <w:pPr>
        <w:pStyle w:val="Normal"/>
        <w:spacing w:before="0" w:after="238"/>
        <w:contextualSpacing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Processo nº 221/2021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  <w:t xml:space="preserve"> </w:t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Conforme determina o artigo 35 da Resolução 276 de 09 de novembro de 2010 – Regimento Interno da Câmara Municipal, a Comissão Permanente de Justiça e Redação, emite o presente Relatório acerca do Projeto de Lei n.º 163/202</w:t>
      </w:r>
      <w:r>
        <w:rPr>
          <w:rFonts w:cs="Calibri" w:ascii="Calibri" w:hAnsi="Calibri"/>
          <w:color w:val="000000"/>
          <w:sz w:val="26"/>
          <w:szCs w:val="26"/>
        </w:rPr>
        <w:t>1</w:t>
      </w:r>
      <w:r>
        <w:rPr>
          <w:rFonts w:cs="Calibri" w:ascii="Calibri" w:hAnsi="Calibri"/>
          <w:color w:val="000000"/>
          <w:sz w:val="26"/>
          <w:szCs w:val="26"/>
        </w:rPr>
        <w:t>, de autoria da Exma. Sra. Vereadora Sônia Regina Rodrigues Módena, sob relatoria da Vereadora Mara Cristina Choquetta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I. Exposição da Matéria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>A Excelentíssima Senhora Vereadora Sônia Regina Rodrigues Módena, protocolou esta Casa de Leis o Projeto de Lei nº 163/2021, que “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DISPÕE SOBRE O ALINHAMENTO E A RETIRADA DE FIOS EM DESUSO E DESORDENADOS EXISTENTES EM POSTES DE ENERGIA ELÉTRICA, NO ÂMBITO DO MUNICÍPIO DE MOGI MIRIM, E DÁ OUTRAS PROVIDÊNCIAS</w:t>
      </w:r>
      <w:r>
        <w:rPr>
          <w:rFonts w:cs="Calibri" w:ascii="Calibri" w:hAnsi="Calibri"/>
          <w:color w:val="000000"/>
          <w:sz w:val="26"/>
          <w:szCs w:val="26"/>
        </w:rPr>
        <w:t>.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”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="Calibri" w:ascii="Calibri" w:hAnsi="Calibri"/>
          <w:color w:val="000000"/>
          <w:sz w:val="26"/>
          <w:szCs w:val="26"/>
        </w:rPr>
        <w:t>A autora propõe a obrigatoriedade de que as empresas concessionárias e permissionárias de serviço de energia elétrica deixar alinhado os fios por ela utilizadas e a retirada dos fios que estão em desuso dos postes. A propositura prevê ainda que as empresas que também utilizem os postes, devam proceder da mesma forma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Segundo a Vereadora, a propositura visa corrigir um importante problema da cidade causado pelo abandono de cabos e fios nos postes, após as empresas de distribuição de energia, telefonia, TV e congêneres realizarem reparos ou substituições de seus equipamentos.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De modo geral, a lei visa acabar com o excesso de fios soltos ou em desuso, garantindo maior segurança à população e diminuindo risco de acidentes.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II. Do mérito e conclusões d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a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 xml:space="preserve"> relator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a</w:t>
      </w:r>
      <w:r>
        <w:rPr>
          <w:rFonts w:cs="Calibri" w:ascii="Calibri" w:hAnsi="Calibri"/>
          <w:color w:val="000000"/>
          <w:sz w:val="26"/>
          <w:szCs w:val="26"/>
        </w:rPr>
        <w:t> 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Inicialmente, cumpre-nos reconhecer que o assunto proposto nos parece estar revestido de uma certa controvérsia jurídica, conforme pode ser observado nos argumentos que passaremos a expor.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Vejamos. A Constituição Federal de 1988 determina em seus dispositivos iniciais, quais assuntos os entes da Federação possuem competência legal para dispor, sendo de modo privativa ou concorrente. Desta forma, reserva-se a competência privativa para a União legislar sobre assuntos de energia, conforme previsto no inciso IV do Art. 12.</w:t>
      </w:r>
    </w:p>
    <w:p>
      <w:pPr>
        <w:pStyle w:val="Normal"/>
        <w:ind w:hang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3540" w:hanging="0"/>
        <w:jc w:val="both"/>
        <w:rPr>
          <w:i/>
          <w:i/>
          <w:iCs/>
        </w:rPr>
      </w:pPr>
      <w:r>
        <w:rPr>
          <w:rFonts w:cs="Calibri" w:ascii="Arial;sans-serif" w:hAnsi="Arial;sans-serif"/>
          <w:b w:val="false"/>
          <w:i/>
          <w:iCs/>
          <w:caps w:val="false"/>
          <w:smallCaps w:val="false"/>
          <w:color w:val="000000"/>
          <w:spacing w:val="0"/>
          <w:sz w:val="20"/>
          <w:szCs w:val="26"/>
        </w:rPr>
        <w:t>“</w:t>
      </w:r>
      <w:r>
        <w:rPr>
          <w:rFonts w:cs="Calibri" w:ascii="Arial;sans-serif" w:hAnsi="Arial;sans-serif"/>
          <w:b w:val="false"/>
          <w:i/>
          <w:iCs/>
          <w:caps w:val="false"/>
          <w:smallCaps w:val="false"/>
          <w:color w:val="000000"/>
          <w:spacing w:val="0"/>
          <w:sz w:val="20"/>
          <w:szCs w:val="26"/>
        </w:rPr>
        <w:t>Art. 22. Compete privativamente à União legislar sobre: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 xml:space="preserve"> </w:t>
      </w:r>
    </w:p>
    <w:p>
      <w:pPr>
        <w:pStyle w:val="Normal"/>
        <w:ind w:left="6372" w:firstLine="709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3540" w:hanging="0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color w:val="000000"/>
          <w:sz w:val="26"/>
          <w:szCs w:val="26"/>
        </w:rPr>
        <w:t>[…]</w:t>
      </w:r>
    </w:p>
    <w:p>
      <w:pPr>
        <w:pStyle w:val="Normal"/>
        <w:ind w:left="6372" w:firstLine="709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left="3540" w:hanging="0"/>
        <w:jc w:val="both"/>
        <w:rPr>
          <w:i/>
          <w:i/>
          <w:iCs/>
        </w:rPr>
      </w:pPr>
      <w:r>
        <w:rPr>
          <w:rFonts w:cs="Calibri" w:ascii="Arial;sans-serif" w:hAnsi="Arial;sans-serif"/>
          <w:b w:val="false"/>
          <w:i/>
          <w:iCs/>
          <w:caps w:val="false"/>
          <w:smallCaps w:val="false"/>
          <w:color w:val="000000"/>
          <w:spacing w:val="0"/>
          <w:sz w:val="20"/>
          <w:szCs w:val="26"/>
        </w:rPr>
        <w:t xml:space="preserve">IV - águas, </w:t>
      </w:r>
      <w:r>
        <w:rPr>
          <w:rFonts w:cs="Calibri" w:ascii="Arial;sans-serif" w:hAnsi="Arial;sans-serif"/>
          <w:b w:val="false"/>
          <w:i/>
          <w:iCs/>
          <w:caps w:val="false"/>
          <w:smallCaps w:val="false"/>
          <w:color w:val="000000"/>
          <w:spacing w:val="0"/>
          <w:sz w:val="20"/>
          <w:szCs w:val="26"/>
          <w:u w:val="single"/>
        </w:rPr>
        <w:t>energia,</w:t>
      </w:r>
      <w:r>
        <w:rPr>
          <w:rFonts w:cs="Calibri" w:ascii="Arial;sans-serif" w:hAnsi="Arial;sans-serif"/>
          <w:b w:val="false"/>
          <w:i/>
          <w:iCs/>
          <w:caps w:val="false"/>
          <w:smallCaps w:val="false"/>
          <w:color w:val="000000"/>
          <w:spacing w:val="0"/>
          <w:sz w:val="20"/>
          <w:szCs w:val="26"/>
        </w:rPr>
        <w:t xml:space="preserve"> informática, telecomunicações e radiodifusão;</w:t>
      </w:r>
      <w:r>
        <w:rPr>
          <w:rFonts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>”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Em contrapartida, a Lei Máxima também estabelece em seu Art. 30 a competência legislativa dos municípios, onde ressaltamos as disposições do inciso VIII: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3540" w:hanging="0"/>
        <w:jc w:val="both"/>
        <w:rPr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color w:val="000000"/>
          <w:sz w:val="22"/>
          <w:szCs w:val="22"/>
        </w:rPr>
        <w:t>“</w:t>
      </w:r>
      <w:r>
        <w:rPr>
          <w:rFonts w:cs="Calibri" w:ascii="Calibri" w:hAnsi="Calibri"/>
          <w:i/>
          <w:iCs/>
          <w:color w:val="000000"/>
          <w:sz w:val="22"/>
          <w:szCs w:val="22"/>
        </w:rPr>
        <w:t>Art. 30. Compete aos Municípios:</w:t>
      </w:r>
    </w:p>
    <w:p>
      <w:pPr>
        <w:pStyle w:val="Normal"/>
        <w:ind w:left="3540" w:hanging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left="3540" w:hanging="0"/>
        <w:jc w:val="both"/>
        <w:rPr>
          <w:i/>
          <w:i/>
          <w:iCs/>
          <w:sz w:val="22"/>
          <w:szCs w:val="22"/>
        </w:rPr>
      </w:pPr>
      <w:r>
        <w:rPr>
          <w:rFonts w:cs="Calibri" w:ascii="Calibri" w:hAnsi="Calibri"/>
          <w:i/>
          <w:iCs/>
          <w:color w:val="000000"/>
          <w:sz w:val="22"/>
          <w:szCs w:val="22"/>
        </w:rPr>
        <w:t>[...]</w:t>
      </w:r>
    </w:p>
    <w:p>
      <w:pPr>
        <w:pStyle w:val="Normal"/>
        <w:ind w:hanging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left="3540" w:hanging="0"/>
        <w:jc w:val="both"/>
        <w:rPr>
          <w:i/>
          <w:i/>
          <w:iCs/>
          <w:sz w:val="22"/>
          <w:szCs w:val="22"/>
          <w:u w:val="single"/>
        </w:rPr>
      </w:pPr>
      <w:r>
        <w:rPr>
          <w:rFonts w:cs="Calibri" w:ascii="Calibri" w:hAnsi="Calibri"/>
          <w:i/>
          <w:iCs/>
          <w:color w:val="000000"/>
          <w:sz w:val="22"/>
          <w:szCs w:val="22"/>
          <w:u w:val="single"/>
        </w:rPr>
        <w:t>VIII - promover, no que couber, adequado ordenamento territorial, mediante planejamento e controle do uso, do parcelamento e da ocupação do solo urbano;”</w:t>
      </w:r>
    </w:p>
    <w:p>
      <w:pPr>
        <w:pStyle w:val="Normal"/>
        <w:ind w:left="3540" w:firstLine="709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A Constituição estabelece ainda que a política de desenvolvimento urbano, executada pelo Poder Público Municipal, tendo por objetivo ordenar o pleno desenvolvimento da cidade e do bem-estar de seus habitantes.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3540" w:hanging="0"/>
        <w:jc w:val="both"/>
        <w:rPr>
          <w:i/>
          <w:i/>
          <w:iCs/>
          <w:sz w:val="24"/>
          <w:szCs w:val="24"/>
        </w:rPr>
      </w:pPr>
      <w:r>
        <w:rPr>
          <w:rFonts w:cs="Calibri" w:ascii="Calibri" w:hAnsi="Calibri"/>
          <w:i/>
          <w:iCs/>
          <w:color w:val="000000"/>
          <w:sz w:val="24"/>
          <w:szCs w:val="24"/>
        </w:rPr>
        <w:t>“</w:t>
      </w:r>
      <w:r>
        <w:rPr>
          <w:rFonts w:cs="Calibri" w:ascii="Calibri" w:hAnsi="Calibri"/>
          <w:i/>
          <w:iCs/>
          <w:color w:val="000000"/>
          <w:sz w:val="24"/>
          <w:szCs w:val="24"/>
        </w:rPr>
        <w:t>Art. 182. A política de desenvolvimento urbano, executada pelo Poder Público municipal, conforme diretrizes gerais fixadas em lei, tem por objetivo ordenar o pleno desenvolvimento das funções sociais da cidade e garantir o bem- estar de seus habitantes.”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Como fortalecimento desta prerrogativa municipal, o artigo 12 da Lei Orgânica de Mogi Mirim – LOMM, também prevê a competência do Município em legislar sobre a devida organização do seu território: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 xml:space="preserve"> 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left="3540" w:hanging="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i/>
          <w:iCs/>
          <w:color w:val="000000"/>
          <w:sz w:val="26"/>
          <w:szCs w:val="26"/>
        </w:rPr>
        <w:t>“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 xml:space="preserve">XIII - planejar o uso e a ocupação do solo em seu território, em zona urbana e rural, estabelecendo normas de edificação, de loteamento, de arruamento e de zoneamento urbano e rural bem como as </w:t>
      </w:r>
      <w:r>
        <w:rPr>
          <w:rFonts w:cs="Calibri" w:ascii="Calibri" w:hAnsi="Calibri"/>
          <w:i/>
          <w:iCs/>
          <w:color w:val="000000"/>
          <w:sz w:val="26"/>
          <w:szCs w:val="26"/>
          <w:u w:val="single"/>
        </w:rPr>
        <w:t>limitações urbanísticas convenientes à ordenação do seu território,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 xml:space="preserve"> observado o estatuto da cidade</w:t>
      </w:r>
      <w:r>
        <w:rPr>
          <w:rFonts w:cs="Calibri" w:ascii="Calibri" w:hAnsi="Calibri"/>
          <w:color w:val="000000"/>
          <w:sz w:val="26"/>
          <w:szCs w:val="26"/>
        </w:rPr>
        <w:t>;”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Desta forma, nos encontramos em um conflito, a matéria versa sobre energia ou ordenamento do território urbano? Analisemos as legislações análogas e seus desdobamentos jurídicos.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Em consulta ao Tribunal de Justiça de São Paulo – TJSP encontramos um Acórdão proferido em uma Ação Direta de Inconstitucionalidade impetrada pelo Prefeito do Município de Presidente Prudente, contra a Câmara Municipal de Presidente Prudente, pela aprovação da Lei Municipal 9.339/2017, de autoria parlamentar, de extrema semelhança com a proposta em tela. O Tribunal Paulista julgou a ação como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IMPROCEDENTE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, isto é, manteve a legalidade da lei aprovada, declarando-a constitucional. 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O relator da ação supracitada, alegou que não usurpa a competência da União para legislar sobre energia a lei local que cuida do meio ambiente urbano. Sustentou que Constituição Federal atribuiu aos municípios promover o adequado ordenamento territorial, através do planejamento e controle do uso, do parcelamento, do funcionamento e da ocupação do solo urbano. 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Para corroborar seu voto, citou que o Supremo Tribunal Federal firmou entendimento recente, no julgamento do Recurso Extraordinário nº 581.947, que as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  <w:u w:val="single"/>
        </w:rPr>
        <w:t xml:space="preserve">concessionárias de energia elétrica se submetem às regras de direito urbanístico. </w:t>
      </w: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 xml:space="preserve">Tais entendimentos foram reafirmados por seus pares de Corte. 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00000"/>
          <w:sz w:val="26"/>
          <w:szCs w:val="26"/>
        </w:rPr>
        <w:t>Outras ações, inclusive de outros Estados, tiveram o mesmo resultado, conforme pode ser consultado no próprio voto do relator, que segue junto aos autos desse processo para avaliação.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Desta forma, afastamos a possível afronta à Constituição, por entender que o escopo principal do projeto se fundamenta na organização e ocupação do solo urbano, não carregando em redação, disposições que versem diretamente de matéria energética. 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>Salientamos ainda que a medida não trata apenas de uma mitigação da poluição visual da cidade, mas também da diminuição de riscos à integridade da população, tendo em vista que já foi noticiado inúmeros acidentes causados por fiação solta, tanto por pedestres como motociclista (destaca-se que este último, já foram registrados casos fatais em cidades da região).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 xml:space="preserve">No que diz respeito a iniciativa, verificamos que a matéria não se encontra inserida no rol taxativo de iniciativa privativa do Chefe do Poder Executivo. </w:t>
      </w:r>
      <w:r>
        <w:rPr>
          <w:rFonts w:cs="Calibri" w:ascii="Calibri" w:hAnsi="Calibri"/>
          <w:color w:val="000000"/>
          <w:sz w:val="26"/>
          <w:szCs w:val="26"/>
        </w:rPr>
        <w:t>Acrescentamos, n</w:t>
      </w:r>
      <w:r>
        <w:rPr>
          <w:rFonts w:cs="Calibri" w:ascii="Calibri" w:hAnsi="Calibri"/>
          <w:color w:val="000000"/>
          <w:sz w:val="26"/>
          <w:szCs w:val="26"/>
        </w:rPr>
        <w:t>este ponto, que inúmeras cidades vizinhas têm apresentado a mesma proposta, sendo em sua maioria de origem parlamentar.</w:t>
      </w:r>
    </w:p>
    <w:p>
      <w:pPr>
        <w:pStyle w:val="Normal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</w:r>
    </w:p>
    <w:p>
      <w:pPr>
        <w:pStyle w:val="Normal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</w:rPr>
        <w:tab/>
        <w:t xml:space="preserve">Para colaborar com a relatoria, foi solicitado apoio jurídico para a empresa de consultoria pública SGP – Soluções em Gestão Pública, que se manifestou pelo prosseguimento da propositura, não observando vícios em sua elaboração, ressalvando apenas, que em caso da não concordância da empresa concessionária, a mesma poderia argumentar que a legislação não poderia ser objeto de lei municipal, por ter relação indireta com matéria energética, sendo, portanto, competência privativa da União (CF. Art. 22, inciso </w:t>
      </w:r>
      <w:r>
        <w:rPr>
          <w:rFonts w:cs="Calibri" w:ascii="Calibri" w:hAnsi="Calibri"/>
          <w:i/>
          <w:iCs/>
          <w:color w:val="000000"/>
          <w:sz w:val="26"/>
          <w:szCs w:val="26"/>
        </w:rPr>
        <w:t>IV - águas, energia, informática, telecomunicações e radiodifusão;</w:t>
      </w:r>
      <w:r>
        <w:rPr>
          <w:rFonts w:cs="Calibri" w:ascii="Calibri" w:hAnsi="Calibri"/>
          <w:color w:val="000000"/>
          <w:sz w:val="26"/>
          <w:szCs w:val="26"/>
        </w:rPr>
        <w:t>). Entretanto, como já demonstramos, os Tribunais de Justiça não têm julgado desta forma.</w:t>
      </w:r>
    </w:p>
    <w:p>
      <w:pPr>
        <w:pStyle w:val="Normal"/>
        <w:spacing w:before="240" w:after="240"/>
        <w:ind w:firstLine="708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Diante de todo exposto, considerando a legalidade do projeto, não se verifica óbices para continuidade da proposta.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III. Substitutivos, Emendas ou subemendas ao Projeto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 </w:t>
      </w:r>
      <w:r>
        <w:rPr>
          <w:rFonts w:cs="Calibri" w:ascii="Calibri" w:hAnsi="Calibri"/>
          <w:color w:val="000000"/>
          <w:sz w:val="26"/>
          <w:szCs w:val="26"/>
        </w:rPr>
        <w:tab/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ab/>
        <w:t>Após avaliação prévia da comissão, encontramos algumas divergências na estrutura da proposta, que foram sanadas pela autora com a proposição de 2 emendas modificativas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IV. Decisão da Relatora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ab/>
        <w:t>Esta Relatoria considera que a presente propositura não apresenta vícios de constitucionalidade, recebendo parecer FAVORÁVEL</w:t>
      </w:r>
      <w:r>
        <w:rPr>
          <w:rFonts w:cs="Calibri" w:ascii="Calibri" w:hAnsi="Calibri"/>
          <w:color w:val="000000"/>
          <w:sz w:val="26"/>
          <w:szCs w:val="26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  <w:shd w:fill="FFFFFF" w:val="clear"/>
        </w:rPr>
        <w:t>Sala das Comissões, em 10 de novembro de 2.022.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color w:val="000000"/>
          <w:sz w:val="26"/>
          <w:szCs w:val="26"/>
          <w:u w:val="single"/>
        </w:rPr>
        <w:t>COMISSÃO DE JUSTIÇA E REDAÇÃO</w:t>
      </w:r>
    </w:p>
    <w:p>
      <w:pPr>
        <w:pStyle w:val="Normal"/>
        <w:spacing w:before="0" w:after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6"/>
          <w:szCs w:val="26"/>
        </w:rPr>
      </w:pPr>
      <w:r>
        <w:rPr>
          <w:rFonts w:cs="Calibri" w:ascii="Calibri" w:hAnsi="Calibri"/>
          <w:b/>
          <w:bCs/>
          <w:color w:val="000000"/>
          <w:sz w:val="26"/>
          <w:szCs w:val="26"/>
        </w:rPr>
        <w:t>Vereadora Mara Cristina Choquetta</w:t>
      </w:r>
    </w:p>
    <w:p>
      <w:pPr>
        <w:pStyle w:val="Normal"/>
        <w:jc w:val="center"/>
        <w:rPr>
          <w:sz w:val="24"/>
          <w:szCs w:val="24"/>
        </w:rPr>
      </w:pPr>
      <w:r>
        <w:rPr>
          <w:rFonts w:cs="Calibri" w:ascii="Calibri" w:hAnsi="Calibri"/>
          <w:color w:val="000000"/>
          <w:sz w:val="26"/>
          <w:szCs w:val="26"/>
        </w:rPr>
        <w:t>Vice-Presidente /Relatora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</w:rPr>
        <w:t>PARECER FAVORÁVEL N.º xx/2022 DA COMISSÃO DE JUSTIÇA E REDAÇÃO</w:t>
      </w:r>
    </w:p>
    <w:p>
      <w:pPr>
        <w:pStyle w:val="Normal"/>
        <w:jc w:val="both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</w:rPr>
        <w:t xml:space="preserve">Seguindo o Voto exarado pela Relatora e conforme determina o artigo 35 da Resolução n.º 276 de 09 de novembro de 2.010, a Comissão de Justiça e Redação formaliza o presente </w:t>
      </w:r>
      <w:r>
        <w:rPr>
          <w:rFonts w:cs="Arial" w:ascii="Calibri" w:hAnsi="Calibri"/>
          <w:b/>
          <w:bCs/>
          <w:color w:val="000000"/>
          <w:sz w:val="24"/>
          <w:szCs w:val="24"/>
        </w:rPr>
        <w:t>PARECER FAVORÁVEL</w:t>
      </w:r>
      <w:r>
        <w:rPr>
          <w:rFonts w:cs="Arial" w:ascii="Calibri" w:hAnsi="Calibri"/>
          <w:color w:val="000000"/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Sala das Comissões, em 10 de novembro de 2.022.</w:t>
      </w:r>
    </w:p>
    <w:p>
      <w:pPr>
        <w:pStyle w:val="Normal"/>
        <w:spacing w:before="0" w:after="240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u w:val="single"/>
          <w:shd w:fill="FFFFFF" w:val="clear"/>
        </w:rPr>
        <w:t>COMISSÃO DE JUSTIÇA E REDAÇÃO</w:t>
      </w:r>
    </w:p>
    <w:p>
      <w:pPr>
        <w:pStyle w:val="Normal"/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 JOÃO VICTOR GASPARINI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 xml:space="preserve">Presidente 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VEREADORA MARA CRISTINA CHOQUETTA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Vice – presidente/relatora</w:t>
      </w:r>
    </w:p>
    <w:p>
      <w:pPr>
        <w:pStyle w:val="Normal"/>
        <w:spacing w:before="0" w:after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before="0" w:after="24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br/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color w:val="000000"/>
          <w:sz w:val="24"/>
          <w:szCs w:val="24"/>
          <w:shd w:fill="FFFFFF" w:val="clear"/>
        </w:rPr>
        <w:t>VEREADORA  DRA. LÚCIA MARIA FERREIRA TENÓRIO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color w:val="000000"/>
          <w:sz w:val="24"/>
          <w:szCs w:val="24"/>
          <w:shd w:fill="FFFFFF" w:val="clear"/>
        </w:rPr>
        <w:t>Membro </w:t>
      </w:r>
    </w:p>
    <w:p>
      <w:pPr>
        <w:pStyle w:val="Normal"/>
        <w:spacing w:before="240" w:after="240"/>
        <w:contextualSpacing/>
        <w:jc w:val="center"/>
        <w:rPr>
          <w:rFonts w:ascii="Calibri" w:hAnsi="Calibri" w:cs="Calibri" w:asciiTheme="minorHAnsi" w:cstheme="minorHAnsi" w:hAnsiTheme="minorHAnsi"/>
          <w:b/>
          <w:b/>
          <w:bCs/>
          <w:sz w:val="26"/>
          <w:szCs w:val="26"/>
          <w:u w:val="single"/>
          <w:shd w:fill="FFFFFF" w:val="clear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">
    <w:altName w:val="sans-serif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5</w:t>
    </w:r>
    <w:r>
      <w:rPr>
        <w:sz w:val="18"/>
        <w:b/>
        <w:rFonts w:ascii="Bookman Old Style" w:hAnsi="Bookman Old Style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7" wp14:anchorId="3A17B7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3A17B7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7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17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10489</TotalTime>
  <Application>LibreOffice/7.3.1.3$Windows_X86_64 LibreOffice_project/a69ca51ded25f3eefd52d7bf9a5fad8c90b87951</Application>
  <AppVersion>15.0000</AppVersion>
  <Pages>5</Pages>
  <Words>1168</Words>
  <Characters>6583</Characters>
  <CharactersWithSpaces>7726</CharactersWithSpaces>
  <Paragraphs>61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2022-11-10T15:49:59Z</cp:lastPrinted>
  <dcterms:modified xsi:type="dcterms:W3CDTF">2022-11-10T15:51:49Z</dcterms:modified>
  <cp:revision>109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