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>RELATÓRIO</w:t>
      </w:r>
    </w:p>
    <w:p>
      <w:pPr>
        <w:spacing w:before="0" w:after="0" w:line="240" w:lineRule="auto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ascii="Calibri" w:hAnsi="Calibri" w:cs="Arial"/>
          <w:b/>
          <w:bCs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Projeto de Lei Complementar n.º 11/2022</w:t>
      </w:r>
    </w:p>
    <w:p>
      <w:pPr>
        <w:pStyle w:val="BodyText"/>
        <w:bidi w:val="0"/>
        <w:spacing w:before="0" w:after="0" w:line="240" w:lineRule="auto"/>
        <w:contextualSpacing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Processo nº 154/2022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Conforme determina o artigo 35 da Resolução 276 de 09 de novembro de 2010 – Regimento Interno da Câmara Municipal, a Comissão Permanente de Justiça e Redação emite o presente Relatório acerca do Projeto de Lei Complementar n.º 11/2022, de autoria do Exmo. Sr. Prefeito Municipal, sob relatoria da Vereadora Mara Cristina Choquetta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O Excelentíssimo Senhor Prefeito Dr. Paulo de Oliveira e Silva encaminha a esta Casa de Leis o Projeto de Lei Complementar nº 131/2.022, que </w:t>
      </w:r>
      <w:r>
        <w:rPr>
          <w:rFonts w:ascii="Calibri" w:hAnsi="Calibri"/>
          <w:b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DISPÕE SOBRE A APLICAÇÃO DA LEI FEDERAL N° 10.887/2004 AOS SERVIDORES REMANESCENTES DO REGIME ESTATUTÁRIO DA CÂMARA MUNICIPAL DE MOGI MIRIM, REGIDO PELA LEI MUNICIPAL N° 573/1965 E ÀS PENSÕES DECORRENTES.”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A propositura visa reajustar o cálculo dos proventos de aposentadoria dos servidores titulares da Câmara Municipal de Mogi Mirim  nos termos da Emenda Constitucional n° 103 de 2019, que estipula a alíquota de contribuição para fins previdenciários à 14% (quatorze por cento). Hoje, a Lei Complementar n° 340 de 2019 autoriza o Poder Legislativo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a efetuar mensalmente o desconto de 11% (onze por cento) incidente sobre o valor total da remuneração de servidores ativos e inativos desta Casa de Leis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II. Do mérito e conclusões do relator</w:t>
      </w:r>
      <w:r>
        <w:rPr>
          <w:rFonts w:ascii="Calibri" w:hAnsi="Calibri"/>
          <w:b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 </w:t>
      </w:r>
    </w:p>
    <w:p>
      <w:pPr>
        <w:pStyle w:val="BodyText"/>
        <w:bidi w:val="0"/>
        <w:spacing w:before="240" w:after="240" w:line="240" w:lineRule="auto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Inicialmente verifica-se que o projeto se encontra em conformidade com artigo 30, inciso I da Constituição Federal, uma vez que se trata de assunto de interesse local:</w:t>
      </w:r>
    </w:p>
    <w:p>
      <w:pPr>
        <w:pStyle w:val="BodyText"/>
        <w:shd w:val="clear" w:color="auto" w:fill="FFFFFF"/>
        <w:bidi w:val="0"/>
        <w:spacing w:before="200" w:after="0" w:line="240" w:lineRule="auto"/>
        <w:ind w:left="2880" w:right="0" w:firstLine="580"/>
        <w:jc w:val="both"/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Art. 30. Compete aos Municípios:</w:t>
      </w:r>
    </w:p>
    <w:p>
      <w:pPr>
        <w:pStyle w:val="BodyText"/>
        <w:shd w:val="clear" w:color="auto" w:fill="FFFFFF"/>
        <w:bidi w:val="0"/>
        <w:spacing w:before="0" w:after="200" w:line="240" w:lineRule="auto"/>
        <w:ind w:left="2880" w:right="0" w:firstLine="580"/>
        <w:jc w:val="both"/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 - legislar sobre assuntos de interesse local;”</w:t>
      </w: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 </w:t>
      </w:r>
    </w:p>
    <w:p>
      <w:pPr>
        <w:pStyle w:val="BodyText"/>
        <w:shd w:val="clear" w:color="auto" w:fill="FFFFFF"/>
        <w:bidi w:val="0"/>
        <w:spacing w:before="200" w:after="0" w:line="240" w:lineRule="auto"/>
        <w:ind w:left="0" w:right="0" w:firstLine="58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 </w:t>
      </w:r>
    </w:p>
    <w:p>
      <w:pPr>
        <w:pStyle w:val="BodyText"/>
        <w:shd w:val="clear" w:color="auto" w:fill="FFFFFF"/>
        <w:bidi w:val="0"/>
        <w:spacing w:before="0" w:after="200" w:line="240" w:lineRule="auto"/>
        <w:ind w:left="0" w:right="0" w:firstLine="58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Do mesmo modo, a disposição da Propositura se enquadra no art. 12, inciso I, II, IX e XI da Lei Orgânica do Município de Mogi Mirim, assim como também respeita a iniciativa do Sr. Prefeito Municipal, conforme disposto no inciso II do artigo 51 da Lei Orgânica Municipal:</w:t>
      </w:r>
    </w:p>
    <w:p>
      <w:pPr>
        <w:pStyle w:val="BodyText"/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Art. 51. São de iniciativa exclusiva do Prefeito as leis que disponham sobre: (...)</w:t>
      </w:r>
    </w:p>
    <w:p>
      <w:pPr>
        <w:pStyle w:val="BodyText"/>
        <w:shd w:val="clear" w:color="auto" w:fill="FFFFFF"/>
        <w:bidi w:val="0"/>
        <w:spacing w:before="0" w:after="200" w:line="240" w:lineRule="auto"/>
        <w:ind w:left="3600" w:right="0" w:firstLine="580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II – servidores públicos, seu </w:t>
      </w:r>
      <w:r>
        <w:rPr>
          <w:rFonts w:ascii="Calibri" w:hAnsi="Calibri"/>
          <w:b w:val="0"/>
          <w:i/>
          <w:caps w:val="0"/>
          <w:smallCaps w:val="0"/>
          <w:color w:val="000000"/>
          <w:sz w:val="24"/>
          <w:szCs w:val="24"/>
          <w:u w:val="single"/>
          <w:shd w:val="clear" w:color="auto" w:fill="auto"/>
        </w:rPr>
        <w:t xml:space="preserve">regime jurídico, </w:t>
      </w: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provimentos de cargos, estabilidade e aposentadoria;”(grifo nosso</w:t>
      </w: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)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Infelizmente, é de conhecimento geral dentro desta Casa de Leis, que a Câmara possui um problema grave, delicado e embaraçoso com relação às aposentadorias e pensionistas dos servidores públicos que estão sob o regime jurídico de contratação conhecido como Estatutário. Resumidamente, o município não possui um regime previdenciário social próprio para gerir as aposentadorias dos seus servidores, tampouco, um fundo de arrecadação específico para contribuição social para subsidiar os benefícios e proventos previdenciários.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Tal tema tem sido amplamente discutido pela Mesa Diretora da casa e pela Comissão Parlamentar de Inquérito - CPI para apuração dos fatos, sendo que este assunto ainda segue para discussão e deliberação no âmbito judicial, cabendo ao município procurar se adequar no que lhe couber.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Em 18 de junho de 2004 foi promulgada a Lei Federal  nº 10.887 que estabeleceu em seus Arts. 4º, 5º e 6º que o servidor público ativo, aposentados e pensionistas devem contribuir com um percentual de </w:t>
      </w:r>
      <w:r>
        <w:rPr>
          <w:rFonts w:ascii="Calibri" w:hAnsi="Calibri"/>
          <w:b w:val="0"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  <w:t>11% (onze por cento)</w:t>
      </w:r>
      <w:r>
        <w:rPr>
          <w:rFonts w:ascii="Calibri" w:hAnsi="Calibri"/>
          <w:b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em atendimento ao Art. 40 da Constituição Federal. Citamos:</w:t>
      </w:r>
    </w:p>
    <w:p>
      <w:pPr>
        <w:pStyle w:val="BodyText"/>
        <w:bidi w:val="0"/>
        <w:spacing w:before="240" w:after="240" w:line="240" w:lineRule="auto"/>
        <w:ind w:left="3600" w:right="0" w:firstLine="720"/>
        <w:jc w:val="both"/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</w:pPr>
      <w:r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>“</w:t>
      </w: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>[...] Art. 40. O regime próprio de previdência social dos servidores titulares de cargos efetivos terá caráter contributivo e solidário, mediante contribuição do respectivo ente federativo, de servidores ativos, de aposentados e de pensionistas, observados critérios que preservem o equilíbrio financeiro e atuarial [...]”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Nesta perspectiva, em 30 de maio de 2019, entrou em vigor no município a Lei Complementar nº 340/2019 (anexo) que determinou a aplicação da Lei Federal nº 10.887/2004 aos servidores remanescentes do regime estatutário da Câmara Municipal, autorizando ainda, o Poder Legislativo, a </w:t>
      </w:r>
      <w:r>
        <w:rPr>
          <w:rFonts w:ascii="Calibri" w:hAnsi="Calibri"/>
          <w:b w:val="0"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  <w:t>executar mensalmente o desconto de 11% (onze por cento)</w:t>
      </w:r>
      <w:r>
        <w:rPr>
          <w:rFonts w:ascii="Calibri" w:hAnsi="Calibri"/>
          <w:b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 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do total do valor da remuneração, proventos e pensões percebidas pelos servidores, a título de contribuição previdenciária. A edição de tal lei municipal foi necessária para sanar a problemática da falta de um Fundo Previdenciário Próprio no município, tendo em vista que os servidores após atingirem o direito merecido à aposentadoria, tinham seus proventos absorvidos pelo erário municipal. Desta forma, o dispositivo legal prevê  que o valor recebido pela aplicação da Lei Complementar (contribuição), fica incorporado ao Tesouro Municipal.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No final do ano de 2019, foi aprovada a Emenda Constitucional nº 103 que alterou o sistema de previdência social, modificando alguns termos importantes da Constituição. Entre estes, o reajuste da alíquota de recolhimento estabelecida na Lei Federal nº 10.887/2004, que passou de </w:t>
      </w:r>
      <w:r>
        <w:rPr>
          <w:rFonts w:ascii="Calibri" w:hAnsi="Calibri"/>
          <w:b w:val="0"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  <w:t xml:space="preserve">11%  para 14% (quatorze por cento),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conforme previsto no art. 11. </w:t>
      </w:r>
    </w:p>
    <w:p>
      <w:pPr>
        <w:pStyle w:val="BodyText"/>
        <w:bidi w:val="0"/>
        <w:spacing w:before="240" w:after="240" w:line="240" w:lineRule="auto"/>
        <w:ind w:left="3600" w:right="0" w:firstLine="0"/>
        <w:jc w:val="both"/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Art. 11. Até que entre em vigor lei que altere a alíquota da contribuição previdenciária de que tratam os arts. 4º, 5º e 6º da Lei nº 10.887, de 18 de junho de 2004, esta será de 14 (quatorze por cento).”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  <w:t>O mesmo diploma legal dispõe em seu art. 9º §4º que os Estados, o Distrito Federal e os Municípios não poderão estabelecer alíquota inferior à da contribuição dos servidores da União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, exceto se demonstrado que o respectivo regime próprio de previdência social não possui deficit atuarial, o que não se aplica neste caso. A referida alteração na Constituição respeitou o princípio de “noventena” passando a vigorar no primeiro dia do quarto mês subsequente à data de publicação da emenda. Isto é, no primeiro (1º) dia do mês de março do ano de 2020.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Em face desse novo reajuste, em cumprimento ao §4º do art. 9º da Emenda Constitucional nº 103/19, que alterou a alíquota prevista nos artigos 4º, 5º e 6º da Lei Federal nº 10.887/04, se faz indispensável que o município atualize a alíquota de  recolhimento da contribuição previdenciária para o percentual de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14%.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Diante de todo exposto, considerando a legalidade do Projeto e a necessidade do cumprimento pelo município das disposições federais, não se verifica óbices para continuidade da proposta.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Esta relatoria não possui emendas a propor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IV. Decisão da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P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Sala das Comissões, em 19 de setembro de 2022.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  <w:t>COMISSÃO DE JUSTIÇA E REDAÇÃO</w:t>
      </w:r>
    </w:p>
    <w:p>
      <w:pPr>
        <w:pStyle w:val="BodyText"/>
        <w:spacing w:line="240" w:lineRule="auto"/>
        <w:rPr>
          <w:rFonts w:ascii="Calibri" w:hAnsi="Calibri"/>
          <w:sz w:val="26"/>
          <w:szCs w:val="26"/>
        </w:rPr>
      </w:pPr>
    </w:p>
    <w:p>
      <w:pPr>
        <w:pStyle w:val="BodyText"/>
        <w:spacing w:line="240" w:lineRule="auto"/>
        <w:rPr>
          <w:rFonts w:ascii="Calibri" w:hAnsi="Calibri"/>
          <w:sz w:val="26"/>
          <w:szCs w:val="26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Vereadora Mara Cristina Choquetta</w:t>
      </w:r>
    </w:p>
    <w:p>
      <w:pPr>
        <w:pStyle w:val="BodyText"/>
        <w:spacing w:line="240" w:lineRule="auto"/>
        <w:jc w:val="center"/>
        <w:rPr>
          <w:rFonts w:ascii="Calibri" w:hAnsi="Calibri"/>
          <w:sz w:val="26"/>
          <w:szCs w:val="26"/>
        </w:rPr>
      </w:pPr>
      <w:bookmarkStart w:id="1" w:name="docs-internal-guid-4f89cce7-7fff-8e94-16"/>
      <w:bookmarkEnd w:id="1"/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PARECER FAVORÁVEL N.º  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15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  /2022 DA COMISSÃO DE JUSTIÇA E REDAÇÃO</w:t>
      </w:r>
    </w:p>
    <w:p>
      <w:pPr>
        <w:pStyle w:val="BodyText"/>
        <w:bidi w:val="0"/>
        <w:spacing w:before="240" w:after="0" w:line="240" w:lineRule="auto"/>
        <w:jc w:val="both"/>
        <w:rPr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 xml:space="preserve">Seguindo o Voto exarado pela Relatora e conforme determina o artigo 35 da Resolução n.º 276 de 09 de novembro de 2.010, a Comissão de Justiça e Redação formaliza o presente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>PARECER 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FFFFFF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FFFFFF"/>
        </w:rPr>
        <w:t>Sala das Comissões, em 19 de setembro de 2022.</w:t>
      </w:r>
    </w:p>
    <w:p>
      <w:pPr>
        <w:pStyle w:val="BodyText"/>
        <w:spacing w:line="240" w:lineRule="auto"/>
      </w:pPr>
      <w:r>
        <w:br/>
      </w:r>
    </w:p>
    <w:p>
      <w:pPr>
        <w:spacing w:line="240" w:lineRule="auto"/>
        <w:jc w:val="center"/>
        <w:rPr>
          <w:rFonts w:cs="Arial"/>
          <w:b/>
          <w:bCs/>
          <w:color w:val="000000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spacing w:line="240" w:lineRule="auto"/>
        <w:jc w:val="center"/>
        <w:rPr>
          <w:rFonts w:cs="Arial"/>
          <w:b/>
          <w:bCs/>
          <w:color w:val="000000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JOÃO VICTOR GASPARINI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 xml:space="preserve">Presidente 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 MARA CRISTINA CHOQUETTA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>Vice – presidente/relatora</w:t>
      </w: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  DRA. LÚCIA MARIA FERREIRA TENÓRIO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>Membro </w:t>
      </w: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>
      <w:rPr>
        <w:rFonts w:ascii="Bookman Old Style" w:hAnsi="Bookman Old Style"/>
        <w:b/>
        <w:sz w:val="18"/>
      </w:rPr>
      <w:t>4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8850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6420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5101CC"/>
  </w:style>
  <w:style w:type="character" w:customStyle="1" w:styleId="Smbolosdenumerao">
    <w:name w:val="Símbolos de numeração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15460</TotalTime>
  <Pages>4</Pages>
  <Words>1081</Words>
  <Characters>5797</Characters>
  <Application>Microsoft Office Word</Application>
  <DocSecurity>0</DocSecurity>
  <Lines>0</Lines>
  <Paragraphs>51</Paragraphs>
  <ScaleCrop>false</ScaleCrop>
  <Company>Camara Municipal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128</cp:revision>
  <cp:lastPrinted>2022-09-22T11:21:56Z</cp:lastPrinted>
  <dcterms:created xsi:type="dcterms:W3CDTF">2022-02-17T15:51:00Z</dcterms:created>
  <dcterms:modified xsi:type="dcterms:W3CDTF">2022-09-22T14:10:15Z</dcterms:modified>
  <dc:language>pt-BR</dc:language>
</cp:coreProperties>
</file>