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150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237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autoria da Nobre Vereadora Sonia Regina Rodrigues, o Projeto de Lei n° 150 de 2022 dispõe sobre a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“proibição da distribuição, a título de brinde em feiras, rifas, bingos, promoção de animais vivos em eventos públicos ou privados” </w:t>
      </w:r>
      <w:r w:rsidDel="00000000" w:rsidR="00000000" w:rsidRPr="00000000">
        <w:rPr>
          <w:sz w:val="26"/>
          <w:szCs w:val="26"/>
          <w:rtl w:val="0"/>
        </w:rPr>
        <w:t xml:space="preserve">no âmbito do Município de Mogi Mirim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Propositura em análise também propõe a vedação da distribuição de animais vivos em eventos que realizam bingos, rifas, feiras, sorteio ou similares no âmbito deste Município, o Projeto prevê ainda a aplicação de multa no valor de R$ 20.000,00 (vinte mil reais), corrigidos anualmente pelo Índice de Preço ao Consumidor Amplo (IPCA), àqueles que infringirem esta Lei, caso aprovado o Projeto</w:t>
      </w:r>
      <w:r w:rsidDel="00000000" w:rsidR="00000000" w:rsidRPr="00000000">
        <w:rPr>
          <w:i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Cumpre destacar que a Comissão de Justiça e Redação requereu parecer da SGP - Soluções em Gestão Pública - parecer técnico-jurídico da matéria gerando a CONSULTA/0461/2022/MN/G de 07 de novembro de 2022, com parecer pela constitucionalidade da matéria.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matéria não encontra óbices legais, estando amparada no art. 12, inciso I e II da Lei Orgânica do Município de Mogi Mirim. Neste mesmo sentido,  artigo 30, inciso I, da Carta Magna, permite que o Município edite leis sempre que a questão social envolve algum interesse local, como é o caso em comento. Destaca-se também que o inciso II do mesmo artigo prevê a autonomia municipal em suplementar a legislação federal e estadual: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76" w:lineRule="auto"/>
        <w:ind w:left="432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="276" w:lineRule="auto"/>
        <w:ind w:left="432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="276" w:lineRule="auto"/>
        <w:ind w:left="4320" w:firstLine="0"/>
        <w:jc w:val="both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II - suplementar a legislação federal e a estadual no que couber; </w:t>
      </w:r>
      <w:r w:rsidDel="00000000" w:rsidR="00000000" w:rsidRPr="00000000">
        <w:rPr>
          <w:i w:val="1"/>
          <w:sz w:val="26"/>
          <w:szCs w:val="26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plano material, o projeto também encontra respaldo, eis que se relaciona com a temática de proteção aos animais, que integram o meio ambiente, cuja preservação é dever do Estado por meio de todos os seus entes federativos, conforme o art. 225 da Constituição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225. Todos têm direito ao meio ambiente ecologicamente equilibrado, bem de uso comum do povo e essencial à sadia qualidade de vida, impondo-se ao Poder Público e à coletividade o dever de defendê-lo e preservá- lo para as presentes e futuras gerações.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§ 1º Para assegurar a efetividade desse direito, incumbe ao Poder Público: (...)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VII - proteger a fauna e a flora, vedadas, na forma da lei, as práticas que coloquem em risco sua função ecológica, provoquem a extinção de espécies ou submetam os animais a crueldade.”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76" w:lineRule="auto"/>
        <w:ind w:lef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ab/>
        <w:t xml:space="preserve">Da mesma, o inciso II do artigo 186 da Lei Orgânica de Mogi Mirim, prevê a colaboração entre o Município, o Estado e a União para a proteção da fauna e flora, fiscalizando, entre outras ações, a comercialização de animais: 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“Art. 186. O Município colaborará com o Estado e a União com a finalidade de: 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II – proteger a fauna e a flora, vedadas as práticas que coloquem em risco sua função ecológica, provoquem extinção de espécies ou submetam os animais à crueldade, fiscalizando a extração, captura, produção, transporte, </w:t>
      </w:r>
      <w:r w:rsidDel="00000000" w:rsidR="00000000" w:rsidRPr="00000000">
        <w:rPr>
          <w:i w:val="1"/>
          <w:sz w:val="26"/>
          <w:szCs w:val="26"/>
          <w:highlight w:val="white"/>
          <w:u w:val="single"/>
          <w:rtl w:val="0"/>
        </w:rPr>
        <w:t xml:space="preserve">comercialização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 e consumo de seus espécimes e subprodutos;”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Cabe ressaltar que até o presente momento, inexiste legislação aprovada em âmbito Estadual ou Federal que aborda o tema tratado na Propositura em análise, apesar da tramitação no legislativo desses mesmos entes federados que de certa maneira, se assemelham ao objeto do Projeto em epígrafe, como o caso do Projeto de Lei nº 4.103/2020, que "proíbe a distribuição de animais em sorteios e afins" que tramita no Congresso Nacional.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Já, no âmbito da Assembleia Legislativa de São Paulo, tramitam o Projeto de Lei nº 554/2014, que “proíbe a distribuição de animais vivos, bem como a exposição, manutenção, utilização e transporte dos mesmos em situações que provoquem maus tratos, independente das sanções previstas em outros dispositivos legais: Municipal, Estadual ou Federal, e dá outras providências”, e o Projeto de Lei nº 368/2020, que “proíbe a distribuição de animais como brindes no Estado de São Paulo e dá outras providências”.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Entretanto, considerando o atual omissão de legislação Federal e Estadual sobre o tema, concordamos com o mencionado parecer da SGP, no sentido de que cabe ao Município </w:t>
      </w:r>
      <w:r w:rsidDel="00000000" w:rsidR="00000000" w:rsidRPr="00000000">
        <w:rPr>
          <w:i w:val="1"/>
          <w:sz w:val="26"/>
          <w:szCs w:val="26"/>
          <w:rtl w:val="0"/>
        </w:rPr>
        <w:t xml:space="preserve">“exercitar plenamente a competência legislativa suplementar, proibindo a distribuição de animais como brindes nos limites territoriais do Município, devendo vigorar até que sobrevenha legislação federal ou estadual, que, por certo, não lhe seja contrária”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Em relação ao aspecto gramatical e lógico, verifica-se que houve respeito às regras ortográficas e técnica legislativa, não havendo apontamentos neste sentido.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Portanto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seja no âmbito jurídico</w:t>
      </w:r>
      <w:r w:rsidDel="00000000" w:rsidR="00000000" w:rsidRPr="00000000">
        <w:rPr>
          <w:sz w:val="26"/>
          <w:szCs w:val="26"/>
          <w:rtl w:val="0"/>
        </w:rPr>
        <w:t xml:space="preserve"> 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gramatical não se vislumbra irregularidades na propositura ora analisada, motivo pelo qual não se verifica óbice para continuidade da proposta apresentada pel</w:t>
      </w:r>
      <w:r w:rsidDel="00000000" w:rsidR="00000000" w:rsidRPr="00000000">
        <w:rPr>
          <w:sz w:val="26"/>
          <w:szCs w:val="26"/>
          <w:rtl w:val="0"/>
        </w:rPr>
        <w:t xml:space="preserve">a nobre vereadora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4">
      <w:pPr>
        <w:spacing w:line="276" w:lineRule="auto"/>
        <w:ind w:firstLine="72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N.º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/2022 DA COMISSÃO DE JUSTIÇA E REDAÇÃO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, combinado com artigo 45 da Resolução n°  276 de 09 de novembro de 2.010, Regimento Interno da Câmara Municipal de Mogi Mirim, a Comissões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</w:t>
      </w:r>
      <w:r w:rsidDel="00000000" w:rsidR="00000000" w:rsidRPr="00000000">
        <w:rPr>
          <w:sz w:val="26"/>
          <w:szCs w:val="26"/>
          <w:rtl w:val="0"/>
        </w:rPr>
        <w:t xml:space="preserve"> formaliza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23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novembro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</w:p>
    <w:p w:rsidR="00000000" w:rsidDel="00000000" w:rsidP="00000000" w:rsidRDefault="00000000" w:rsidRPr="00000000" w14:paraId="00000030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 / RELATOR</w:t>
      </w:r>
    </w:p>
    <w:p w:rsidR="00000000" w:rsidDel="00000000" w:rsidP="00000000" w:rsidRDefault="00000000" w:rsidRPr="00000000" w14:paraId="00000039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2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115.433070866140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