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40" w:lineRule="auto"/>
        <w:ind w:left="0" w:right="0" w:firstLine="0"/>
        <w:jc w:val="left"/>
        <w:rPr>
          <w:rFonts w:ascii="Calibri" w:eastAsia="Calibri" w:hAnsi="Calibri" w:cs="Calibri"/>
          <w:b/>
          <w:sz w:val="26"/>
          <w:szCs w:val="26"/>
        </w:rPr>
      </w:pPr>
    </w:p>
    <w:p w:rsidR="00000000" w:rsidRPr="00000000" w:rsidP="00000000" w14:paraId="00000002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40" w:lineRule="auto"/>
        <w:ind w:left="0" w:right="0" w:firstLine="0"/>
        <w:jc w:val="left"/>
        <w:rPr>
          <w:rFonts w:ascii="Calibri" w:eastAsia="Calibri" w:hAnsi="Calibri" w:cs="Calibri"/>
          <w:b/>
          <w:sz w:val="26"/>
          <w:szCs w:val="26"/>
        </w:rPr>
      </w:pPr>
    </w:p>
    <w:p w:rsidR="00000000" w:rsidRPr="00000000" w:rsidP="00000000" w14:paraId="00000003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40" w:lineRule="auto"/>
        <w:ind w:left="0" w:right="0" w:firstLine="0"/>
        <w:jc w:val="left"/>
        <w:rPr>
          <w:rFonts w:ascii="Calibri" w:eastAsia="Calibri" w:hAnsi="Calibri" w:cs="Calibri"/>
          <w:b/>
          <w:sz w:val="26"/>
          <w:szCs w:val="26"/>
        </w:rPr>
      </w:pPr>
    </w:p>
    <w:p w:rsidR="00000000" w:rsidRPr="00000000" w:rsidP="00000000" w14:paraId="00000004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360" w:lineRule="auto"/>
        <w:ind w:left="0" w:right="0" w:firstLine="0"/>
        <w:jc w:val="center"/>
        <w:rPr>
          <w:b/>
          <w:i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</w:rPr>
      </w:pPr>
      <w:r w:rsidRPr="00000000">
        <w:rPr>
          <w:b/>
          <w:i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  <w:rtl w:val="0"/>
        </w:rPr>
        <w:t xml:space="preserve">RELATÓRIO </w:t>
      </w:r>
    </w:p>
    <w:p w:rsidR="00000000" w:rsidRPr="00000000" w:rsidP="00000000" w14:paraId="00000005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40" w:lineRule="auto"/>
        <w:ind w:left="0" w:right="0" w:firstLine="0"/>
        <w:jc w:val="left"/>
        <w:rPr>
          <w:b/>
          <w:i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</w:rPr>
      </w:pPr>
      <w:r w:rsidRPr="00000000">
        <w:rPr>
          <w:b/>
          <w:i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  <w:rtl w:val="0"/>
        </w:rPr>
        <w:t xml:space="preserve">Projeto de Lei n.º </w:t>
      </w:r>
      <w:r w:rsidRPr="00000000">
        <w:rPr>
          <w:b/>
          <w:sz w:val="26"/>
          <w:szCs w:val="26"/>
          <w:rtl w:val="0"/>
        </w:rPr>
        <w:t>154</w:t>
      </w:r>
      <w:r w:rsidRPr="00000000">
        <w:rPr>
          <w:b/>
          <w:i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  <w:rtl w:val="0"/>
        </w:rPr>
        <w:t xml:space="preserve"> de 202</w:t>
      </w:r>
      <w:r w:rsidRPr="00000000">
        <w:rPr>
          <w:b/>
          <w:sz w:val="26"/>
          <w:szCs w:val="26"/>
          <w:rtl w:val="0"/>
        </w:rPr>
        <w:t>2</w:t>
      </w:r>
    </w:p>
    <w:p w:rsidR="00000000" w:rsidRPr="00000000" w:rsidP="00000000" w14:paraId="00000006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40" w:lineRule="auto"/>
        <w:ind w:left="0" w:right="0" w:firstLine="0"/>
        <w:jc w:val="left"/>
        <w:rPr>
          <w:b/>
          <w:i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</w:rPr>
      </w:pPr>
      <w:r w:rsidRPr="00000000">
        <w:rPr>
          <w:b/>
          <w:i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  <w:rtl w:val="0"/>
        </w:rPr>
        <w:t xml:space="preserve">Processo nº </w:t>
      </w:r>
      <w:r w:rsidRPr="00000000">
        <w:rPr>
          <w:b/>
          <w:sz w:val="26"/>
          <w:szCs w:val="26"/>
          <w:rtl w:val="0"/>
        </w:rPr>
        <w:t>241</w:t>
      </w:r>
      <w:r w:rsidRPr="00000000">
        <w:rPr>
          <w:b/>
          <w:i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  <w:rtl w:val="0"/>
        </w:rPr>
        <w:t xml:space="preserve"> de 202</w:t>
      </w:r>
      <w:r w:rsidRPr="00000000">
        <w:rPr>
          <w:b/>
          <w:sz w:val="26"/>
          <w:szCs w:val="26"/>
          <w:rtl w:val="0"/>
        </w:rPr>
        <w:t>2</w:t>
      </w:r>
    </w:p>
    <w:p w:rsidR="00000000" w:rsidRPr="00000000" w:rsidP="00000000" w14:paraId="00000007">
      <w:pPr>
        <w:spacing w:line="240" w:lineRule="auto"/>
        <w:jc w:val="both"/>
        <w:rPr>
          <w:b/>
          <w:sz w:val="26"/>
          <w:szCs w:val="26"/>
        </w:rPr>
      </w:pPr>
      <w:r w:rsidRPr="00000000">
        <w:rPr>
          <w:b/>
          <w:sz w:val="26"/>
          <w:szCs w:val="26"/>
          <w:rtl w:val="0"/>
        </w:rPr>
        <w:t>Autor: Vereador Geraldo Vicente Bertanha</w:t>
      </w:r>
    </w:p>
    <w:p w:rsidR="00000000" w:rsidRPr="00000000" w:rsidP="00000000" w14:paraId="00000008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360" w:lineRule="auto"/>
        <w:ind w:left="0" w:right="0" w:firstLine="0"/>
        <w:jc w:val="both"/>
        <w:rPr>
          <w:b/>
          <w:sz w:val="26"/>
          <w:szCs w:val="26"/>
        </w:rPr>
      </w:pPr>
    </w:p>
    <w:p w:rsidR="00000000" w:rsidRPr="00000000" w:rsidP="00000000" w14:paraId="00000009">
      <w:pPr>
        <w:spacing w:line="276" w:lineRule="auto"/>
        <w:ind w:firstLine="720"/>
        <w:jc w:val="both"/>
        <w:rPr>
          <w:b/>
          <w:sz w:val="26"/>
          <w:szCs w:val="26"/>
        </w:rPr>
      </w:pPr>
      <w:r w:rsidRPr="00000000">
        <w:rPr>
          <w:sz w:val="26"/>
          <w:szCs w:val="26"/>
          <w:rtl w:val="0"/>
        </w:rPr>
        <w:t xml:space="preserve">Conforme determinam os artigos 35 e 39, combinados com o artigo 45 da Resolução 276 de 09 de novembro de 2010 – Regimento Interno da Câmara Municipal, a Comissão Permanente de Justiça e Redação, conjuntamente com a Comissão Permanente de Educação, Saúde, Cultura, Esporte e Assistência Social emitem o presente Relatório acerca do Projeto de Lei n.º 154/2022, sob </w:t>
      </w:r>
      <w:r w:rsidRPr="00000000">
        <w:rPr>
          <w:b/>
          <w:sz w:val="26"/>
          <w:szCs w:val="26"/>
          <w:rtl w:val="0"/>
        </w:rPr>
        <w:t>a relatoria do Vereador João Victor  Gasparini.</w:t>
      </w:r>
    </w:p>
    <w:p w:rsidR="00000000" w:rsidRPr="00000000" w:rsidP="00000000" w14:paraId="0000000A">
      <w:pPr>
        <w:spacing w:line="276" w:lineRule="auto"/>
        <w:jc w:val="both"/>
        <w:rPr>
          <w:b/>
          <w:sz w:val="26"/>
          <w:szCs w:val="26"/>
        </w:rPr>
      </w:pPr>
    </w:p>
    <w:p w:rsidR="00000000" w:rsidRPr="00000000" w:rsidP="00000000" w14:paraId="0000000B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76" w:lineRule="auto"/>
        <w:ind w:left="0" w:right="0" w:firstLine="0"/>
        <w:jc w:val="both"/>
        <w:rPr>
          <w:b/>
          <w:sz w:val="26"/>
          <w:szCs w:val="26"/>
        </w:rPr>
      </w:pPr>
      <w:r w:rsidRPr="00000000">
        <w:rPr>
          <w:b/>
          <w:i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  <w:rtl w:val="0"/>
        </w:rPr>
        <w:t>I. Exposição da Matéria</w:t>
      </w:r>
    </w:p>
    <w:p w:rsidR="00000000" w:rsidRPr="00000000" w:rsidP="00000000" w14:paraId="0000000C">
      <w:pPr>
        <w:spacing w:line="276" w:lineRule="auto"/>
        <w:ind w:firstLine="709"/>
        <w:jc w:val="both"/>
        <w:rPr>
          <w:sz w:val="26"/>
          <w:szCs w:val="26"/>
        </w:rPr>
      </w:pPr>
      <w:r w:rsidRPr="00000000">
        <w:rPr>
          <w:sz w:val="26"/>
          <w:szCs w:val="26"/>
          <w:rtl w:val="0"/>
        </w:rPr>
        <w:t>De iniciativa do Vereador Geraldo Vicente Bertanha</w:t>
      </w:r>
      <w:r w:rsidRPr="00000000">
        <w:rPr>
          <w:b/>
          <w:sz w:val="26"/>
          <w:szCs w:val="26"/>
          <w:rtl w:val="0"/>
        </w:rPr>
        <w:t xml:space="preserve"> </w:t>
      </w:r>
      <w:r w:rsidRPr="00000000">
        <w:rPr>
          <w:sz w:val="26"/>
          <w:szCs w:val="26"/>
          <w:rtl w:val="0"/>
        </w:rPr>
        <w:t xml:space="preserve">o Projeto de Lei n° 154 de 2022 dispõe sobre a </w:t>
      </w:r>
      <w:r w:rsidRPr="00000000">
        <w:rPr>
          <w:b/>
          <w:color w:val="000000"/>
          <w:sz w:val="26"/>
          <w:szCs w:val="26"/>
          <w:rtl w:val="0"/>
        </w:rPr>
        <w:t>“</w:t>
      </w:r>
      <w:r w:rsidRPr="00000000">
        <w:rPr>
          <w:b/>
          <w:sz w:val="26"/>
          <w:szCs w:val="26"/>
          <w:rtl w:val="0"/>
        </w:rPr>
        <w:t xml:space="preserve">Obrigatoriedade de a Prefeitura divulgar, no portal (site) do Município, por meio de um ícone específico - ‘Link da Mulher’ - bem como nas redes sociais -, todas as informações sobre os serviços prestados às mulheres no âmbito do Município de Mogi Mirim". </w:t>
      </w:r>
    </w:p>
    <w:p w:rsidR="00000000" w:rsidRPr="00000000" w:rsidP="00000000" w14:paraId="0000000D">
      <w:pPr>
        <w:spacing w:line="276" w:lineRule="auto"/>
        <w:ind w:firstLine="709"/>
        <w:jc w:val="both"/>
        <w:rPr>
          <w:sz w:val="26"/>
          <w:szCs w:val="26"/>
        </w:rPr>
      </w:pPr>
      <w:r w:rsidRPr="00000000">
        <w:rPr>
          <w:sz w:val="26"/>
          <w:szCs w:val="26"/>
          <w:rtl w:val="0"/>
        </w:rPr>
        <w:t>A propositura em análise visa dar publicidade e transparência e prestar informações importantes ao público feminino da cidade de Mogi Mirim, que por ventura precise de serviços, principalmente quando vítimas de violência doméstica.</w:t>
      </w:r>
    </w:p>
    <w:p w:rsidR="00000000" w:rsidRPr="00000000" w:rsidP="00000000" w14:paraId="0000000E">
      <w:pPr>
        <w:spacing w:line="276" w:lineRule="auto"/>
        <w:ind w:firstLine="709"/>
        <w:jc w:val="both"/>
        <w:rPr>
          <w:b/>
          <w:sz w:val="26"/>
          <w:szCs w:val="26"/>
        </w:rPr>
      </w:pPr>
      <w:r w:rsidRPr="00000000">
        <w:rPr>
          <w:sz w:val="26"/>
          <w:szCs w:val="26"/>
          <w:rtl w:val="0"/>
        </w:rPr>
        <w:t xml:space="preserve"> </w:t>
      </w:r>
    </w:p>
    <w:p w:rsidR="00000000" w:rsidRPr="00000000" w:rsidP="00000000" w14:paraId="0000000F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76" w:lineRule="auto"/>
        <w:ind w:left="0" w:right="0" w:firstLine="0"/>
        <w:jc w:val="both"/>
        <w:rPr>
          <w:sz w:val="26"/>
          <w:szCs w:val="26"/>
        </w:rPr>
      </w:pPr>
      <w:r w:rsidRPr="00000000">
        <w:rPr>
          <w:b/>
          <w:i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  <w:rtl w:val="0"/>
        </w:rPr>
        <w:t>II. Do mérito e conclusões do relator</w:t>
      </w:r>
      <w:r w:rsidRPr="00000000">
        <w:rPr>
          <w:i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  <w:rtl w:val="0"/>
        </w:rPr>
        <w:t xml:space="preserve"> </w:t>
      </w:r>
    </w:p>
    <w:p w:rsidR="00000000" w:rsidRPr="00000000" w:rsidP="00000000" w14:paraId="00000010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76" w:lineRule="auto"/>
        <w:ind w:left="0" w:right="0" w:firstLine="0"/>
        <w:jc w:val="both"/>
        <w:rPr>
          <w:sz w:val="26"/>
          <w:szCs w:val="26"/>
        </w:rPr>
      </w:pPr>
      <w:r w:rsidRPr="00000000">
        <w:rPr>
          <w:sz w:val="26"/>
          <w:szCs w:val="26"/>
          <w:rtl w:val="0"/>
        </w:rPr>
        <w:tab/>
        <w:t>Inicialmente, cumpre destacar que a Comissão de Justiça e Redação requereu parecer da SGP - Soluções em Gestão Pública - para avaliação do Projeto de Lei ora analisado, através da CONSULTA/0464/2022/MN/G de 7 de novembro de 2022, com parecer pela constitucionalidade da matéria.</w:t>
      </w:r>
    </w:p>
    <w:p w:rsidR="00000000" w:rsidRPr="00000000" w:rsidP="00000000" w14:paraId="0000001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76" w:lineRule="auto"/>
        <w:ind w:left="0" w:right="0" w:firstLine="0"/>
        <w:jc w:val="both"/>
        <w:rPr>
          <w:sz w:val="26"/>
          <w:szCs w:val="26"/>
        </w:rPr>
      </w:pPr>
      <w:r w:rsidRPr="00000000">
        <w:rPr>
          <w:sz w:val="26"/>
          <w:szCs w:val="26"/>
          <w:rtl w:val="0"/>
        </w:rPr>
        <w:tab/>
        <w:t>Trata-se de assunto que se enquadra nas competências legislativas do Município, conforme determina o artigo 30, inciso I da Constituição Federal, no que se refere em legislar sobre assuntos de interesse local. Do mesmo modo, a Constituição garante aos Municípios brasileiros o poder de exercitar plenamente a competência legislativa de suplementar as legislações estadual e federal, naquilo que for cabível e disser respeito ao interesse local (inc. II do art. 30 da CF).</w:t>
      </w:r>
    </w:p>
    <w:p w:rsidR="00000000" w:rsidRPr="00000000" w:rsidP="00000000" w14:paraId="00000012">
      <w:pPr>
        <w:spacing w:line="276" w:lineRule="auto"/>
        <w:ind w:left="0" w:firstLine="720"/>
        <w:jc w:val="both"/>
        <w:rPr>
          <w:sz w:val="26"/>
          <w:szCs w:val="26"/>
        </w:rPr>
      </w:pPr>
      <w:r w:rsidRPr="00000000">
        <w:rPr>
          <w:sz w:val="26"/>
          <w:szCs w:val="26"/>
          <w:rtl w:val="0"/>
        </w:rPr>
        <w:t xml:space="preserve">Em relação à legalidade do Projeto de Lei em epígrafe, a Lei Federal n° 11.340, que </w:t>
      </w:r>
      <w:r w:rsidRPr="00000000">
        <w:rPr>
          <w:b/>
          <w:sz w:val="26"/>
          <w:szCs w:val="26"/>
          <w:rtl w:val="0"/>
        </w:rPr>
        <w:t>“</w:t>
      </w:r>
      <w:r w:rsidRPr="00000000">
        <w:rPr>
          <w:b/>
          <w:i/>
          <w:sz w:val="26"/>
          <w:szCs w:val="26"/>
          <w:rtl w:val="0"/>
        </w:rPr>
        <w:t xml:space="preserve">Cria mecanismos para coibir a violência doméstica e familiar contra a mulher, nos termos do § 8º do art. 226 da Constituição Federal, da Convenção sobre a Eliminação de Todas as Formas de Discriminação contra as Mulheres e da Convenção Interamericana para Prevenir, Punir e Erradicar a Violência contra a Mulher (…)”  </w:t>
      </w:r>
      <w:r w:rsidRPr="00000000">
        <w:rPr>
          <w:sz w:val="26"/>
          <w:szCs w:val="26"/>
          <w:rtl w:val="0"/>
        </w:rPr>
        <w:t>conhecida como Lei Maria da Penha, garantiu o dever de todos os entes federados em realizar adaptação de seus órgãos e de seus programas às diretrizes e aos princípios da mencionada Lei, esta disposição está em seus artigos 36 e 37:</w:t>
      </w:r>
    </w:p>
    <w:p w:rsidR="00000000" w:rsidRPr="00000000" w:rsidP="00000000" w14:paraId="00000013">
      <w:pPr>
        <w:spacing w:before="300" w:after="300" w:line="276" w:lineRule="auto"/>
        <w:ind w:left="2160" w:firstLine="580"/>
        <w:jc w:val="both"/>
        <w:rPr>
          <w:i/>
          <w:sz w:val="26"/>
          <w:szCs w:val="26"/>
        </w:rPr>
      </w:pPr>
      <w:r w:rsidRPr="00000000">
        <w:rPr>
          <w:i/>
          <w:sz w:val="26"/>
          <w:szCs w:val="26"/>
          <w:rtl w:val="0"/>
        </w:rPr>
        <w:t>“Art. 36. A União, os Estados, o Distrito Federal e os Municípios promoverão a adaptação de seus órgãos e de seus programas às diretrizes e aos princípios desta Lei.</w:t>
      </w:r>
    </w:p>
    <w:p w:rsidR="00000000" w:rsidRPr="00000000" w:rsidP="00000000" w14:paraId="00000014">
      <w:pPr>
        <w:spacing w:before="300" w:after="300" w:line="276" w:lineRule="auto"/>
        <w:ind w:left="2160" w:firstLine="580"/>
        <w:jc w:val="both"/>
        <w:rPr>
          <w:sz w:val="26"/>
          <w:szCs w:val="26"/>
        </w:rPr>
      </w:pPr>
      <w:r w:rsidRPr="00000000">
        <w:rPr>
          <w:i/>
          <w:sz w:val="26"/>
          <w:szCs w:val="26"/>
          <w:rtl w:val="0"/>
        </w:rPr>
        <w:t>Art. 37. A defesa dos interesses e direitos transindividuais previstos nesta Lei poderá ser exercida, concorrentemente, pelo Ministério Público e por associação de atuação na área, regularmente constituída há pelo menos um ano, nos termos da legislação civil.”</w:t>
      </w:r>
    </w:p>
    <w:p w:rsidR="00000000" w:rsidRPr="00000000" w:rsidP="00000000" w14:paraId="00000015">
      <w:pPr>
        <w:spacing w:before="300" w:after="300" w:line="276" w:lineRule="auto"/>
        <w:ind w:left="0" w:firstLine="0"/>
        <w:jc w:val="both"/>
        <w:rPr>
          <w:sz w:val="26"/>
          <w:szCs w:val="26"/>
        </w:rPr>
      </w:pPr>
      <w:r w:rsidRPr="00000000">
        <w:rPr>
          <w:sz w:val="26"/>
          <w:szCs w:val="26"/>
          <w:rtl w:val="0"/>
        </w:rPr>
        <w:tab/>
        <w:t>Neste mesmo sentido, a Lei Maria da Penha também assegura às mulheres as condições para o exercício efetivo dos direitos à vida, à segurança e etc, conforme disposto em seu artigo 3°:</w:t>
      </w:r>
    </w:p>
    <w:p w:rsidR="00000000" w:rsidRPr="00000000" w:rsidP="00000000" w14:paraId="00000016">
      <w:pPr>
        <w:spacing w:before="300" w:after="300" w:line="276" w:lineRule="auto"/>
        <w:ind w:left="2160" w:firstLine="580"/>
        <w:jc w:val="both"/>
        <w:rPr>
          <w:i/>
          <w:sz w:val="26"/>
          <w:szCs w:val="26"/>
        </w:rPr>
      </w:pPr>
      <w:r w:rsidRPr="00000000">
        <w:rPr>
          <w:i/>
          <w:sz w:val="26"/>
          <w:szCs w:val="26"/>
          <w:rtl w:val="0"/>
        </w:rPr>
        <w:t>“Art. 3º Serão asseguradas às mulheres as condições para o exercício efetivo dos direitos à vida, à segurança, à saúde, à alimentação, à educação, à cultura, à moradia, ao acesso à justiça, ao esporte, ao lazer, ao trabalho, à cidadania, à liberdade, à dignidade, ao respeito e à convivência familiar e comunitária.</w:t>
      </w:r>
    </w:p>
    <w:p w:rsidR="00000000" w:rsidRPr="00000000" w:rsidP="00000000" w14:paraId="00000017">
      <w:pPr>
        <w:spacing w:before="300" w:after="300" w:line="276" w:lineRule="auto"/>
        <w:ind w:left="2160" w:firstLine="580"/>
        <w:jc w:val="both"/>
        <w:rPr>
          <w:i/>
          <w:sz w:val="26"/>
          <w:szCs w:val="26"/>
        </w:rPr>
      </w:pPr>
      <w:r w:rsidRPr="00000000">
        <w:rPr>
          <w:i/>
          <w:sz w:val="26"/>
          <w:szCs w:val="26"/>
          <w:rtl w:val="0"/>
        </w:rPr>
        <w:t>§ 1º O poder público desenvolverá políticas que visem garantir os direitos humanos das mulheres no âmbito das relações domésticas e familiares no sentido de resguardá-las de toda forma de negligência, discriminação, exploração, violência, crueldade e opressão.</w:t>
      </w:r>
    </w:p>
    <w:p w:rsidR="00000000" w:rsidRPr="00000000" w:rsidP="00000000" w14:paraId="00000018">
      <w:pPr>
        <w:spacing w:before="300" w:after="300" w:line="276" w:lineRule="auto"/>
        <w:ind w:left="2160" w:firstLine="580"/>
        <w:jc w:val="both"/>
        <w:rPr>
          <w:i/>
          <w:sz w:val="26"/>
          <w:szCs w:val="26"/>
        </w:rPr>
      </w:pPr>
      <w:r w:rsidRPr="00000000">
        <w:rPr>
          <w:i/>
          <w:sz w:val="26"/>
          <w:szCs w:val="26"/>
          <w:rtl w:val="0"/>
        </w:rPr>
        <w:t>§ 2º Cabe à família, à sociedade e ao poder público criar as condições necessárias para o efetivo exercício dos direitos enunciados no caput.”</w:t>
      </w:r>
    </w:p>
    <w:p w:rsidR="00000000" w:rsidRPr="00000000" w:rsidP="00000000" w14:paraId="00000019">
      <w:pPr>
        <w:spacing w:before="300" w:after="300" w:line="276" w:lineRule="auto"/>
        <w:ind w:left="0" w:firstLine="0"/>
        <w:jc w:val="both"/>
        <w:rPr>
          <w:sz w:val="26"/>
          <w:szCs w:val="26"/>
        </w:rPr>
      </w:pPr>
      <w:r w:rsidRPr="00000000">
        <w:rPr>
          <w:sz w:val="26"/>
          <w:szCs w:val="26"/>
          <w:rtl w:val="0"/>
        </w:rPr>
        <w:tab/>
        <w:t xml:space="preserve">Desta forma, a Propositura em análise se enquadra no referido dispositivo da Lei Federal nº 11.340, bem como no mencionado inciso II, artigo 30 da nossa Carta Magna, no que tange à suplementar a legislação federal e estadual. </w:t>
      </w:r>
    </w:p>
    <w:p w:rsidR="00000000" w:rsidRPr="00000000" w:rsidP="00000000" w14:paraId="0000001A">
      <w:pPr>
        <w:shd w:val="clear" w:color="auto" w:fill="FFFFFF"/>
        <w:spacing w:before="200" w:after="200" w:line="240" w:lineRule="auto"/>
        <w:ind w:left="2880" w:firstLine="580"/>
        <w:jc w:val="both"/>
        <w:rPr>
          <w:i/>
          <w:sz w:val="26"/>
          <w:szCs w:val="26"/>
        </w:rPr>
      </w:pPr>
      <w:r w:rsidRPr="00000000">
        <w:rPr>
          <w:i/>
          <w:sz w:val="26"/>
          <w:szCs w:val="26"/>
          <w:rtl w:val="0"/>
        </w:rPr>
        <w:t>“Art. 30. Compete aos Municípios:</w:t>
      </w:r>
    </w:p>
    <w:p w:rsidR="00000000" w:rsidRPr="00000000" w:rsidP="00000000" w14:paraId="0000001B">
      <w:pPr>
        <w:shd w:val="clear" w:color="auto" w:fill="FFFFFF"/>
        <w:spacing w:before="200" w:after="200" w:line="240" w:lineRule="auto"/>
        <w:ind w:left="2880" w:firstLine="580"/>
        <w:jc w:val="both"/>
        <w:rPr>
          <w:i/>
          <w:sz w:val="26"/>
          <w:szCs w:val="26"/>
        </w:rPr>
      </w:pPr>
      <w:r w:rsidRPr="00000000">
        <w:rPr>
          <w:i/>
          <w:sz w:val="26"/>
          <w:szCs w:val="26"/>
          <w:rtl w:val="0"/>
        </w:rPr>
        <w:t>I - legislar sobre assuntos de interesse local;</w:t>
      </w:r>
    </w:p>
    <w:p w:rsidR="00000000" w:rsidRPr="00000000" w:rsidP="00000000" w14:paraId="0000001C">
      <w:pPr>
        <w:shd w:val="clear" w:color="auto" w:fill="FFFFFF"/>
        <w:spacing w:before="200" w:after="200" w:line="240" w:lineRule="auto"/>
        <w:ind w:left="2880" w:firstLine="580"/>
        <w:jc w:val="both"/>
        <w:rPr>
          <w:i/>
          <w:sz w:val="26"/>
          <w:szCs w:val="26"/>
        </w:rPr>
      </w:pPr>
      <w:r w:rsidRPr="00000000">
        <w:rPr>
          <w:i/>
          <w:sz w:val="26"/>
          <w:szCs w:val="26"/>
          <w:highlight w:val="white"/>
          <w:rtl w:val="0"/>
        </w:rPr>
        <w:t>II - suplementar a legislação federal e a estadual no que couber;”</w:t>
      </w:r>
    </w:p>
    <w:p w:rsidR="00000000" w:rsidRPr="00000000" w:rsidP="00000000" w14:paraId="0000001D">
      <w:pPr>
        <w:spacing w:before="300" w:after="300" w:line="276" w:lineRule="auto"/>
        <w:ind w:left="0" w:firstLine="720"/>
        <w:jc w:val="both"/>
        <w:rPr>
          <w:sz w:val="26"/>
          <w:szCs w:val="26"/>
        </w:rPr>
      </w:pPr>
      <w:r w:rsidRPr="00000000">
        <w:rPr>
          <w:sz w:val="26"/>
          <w:szCs w:val="26"/>
          <w:rtl w:val="0"/>
        </w:rPr>
        <w:t xml:space="preserve">Com relação à iniciativa da propositura, de origem parlamentar, visando garantir a transparência e publicidade de informações relevantes para a população por meios oficiais do Município, entendemos que se enquadra como iniciativa concorrente, uma vez que a matéria não está inserida no rol de iniciativas privativas dos chefes dos Poderes Executivo Federal, Estadual e Municipal. </w:t>
      </w:r>
    </w:p>
    <w:p w:rsidR="00000000" w:rsidRPr="00000000" w:rsidP="00000000" w14:paraId="0000001E">
      <w:pPr>
        <w:spacing w:before="300" w:after="300" w:line="276" w:lineRule="auto"/>
        <w:ind w:left="0" w:firstLine="720"/>
        <w:jc w:val="both"/>
        <w:rPr>
          <w:sz w:val="26"/>
          <w:szCs w:val="26"/>
        </w:rPr>
      </w:pPr>
      <w:r w:rsidRPr="00000000">
        <w:rPr>
          <w:sz w:val="26"/>
          <w:szCs w:val="26"/>
          <w:rtl w:val="0"/>
        </w:rPr>
        <w:t xml:space="preserve">Em relação ao aspecto gramatical e lógico, verifica-se que houve respeito às regras ortográficas e técnica legislativa, não havendo apontamentos neste sentido. </w:t>
      </w:r>
    </w:p>
    <w:p w:rsidR="00000000" w:rsidRPr="00000000" w:rsidP="00000000" w14:paraId="0000001F">
      <w:pPr>
        <w:spacing w:line="276" w:lineRule="auto"/>
        <w:ind w:left="0" w:firstLine="720"/>
        <w:jc w:val="both"/>
        <w:rPr>
          <w:sz w:val="26"/>
          <w:szCs w:val="26"/>
        </w:rPr>
      </w:pPr>
      <w:r w:rsidRPr="00000000">
        <w:rPr>
          <w:sz w:val="26"/>
          <w:szCs w:val="26"/>
          <w:rtl w:val="0"/>
        </w:rPr>
        <w:t>Assim sendo, não se vislumbra irregularidades no Projeto de Lei em análise, motivo pelo qual não nos opomos à continuidade da proposta apresentada pelo vereador.</w:t>
      </w:r>
    </w:p>
    <w:p w:rsidR="00000000" w:rsidRPr="00000000" w:rsidP="00000000" w14:paraId="00000020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76" w:lineRule="auto"/>
        <w:ind w:left="0" w:righ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21">
      <w:pPr>
        <w:spacing w:line="276" w:lineRule="auto"/>
        <w:jc w:val="both"/>
        <w:rPr>
          <w:sz w:val="26"/>
          <w:szCs w:val="26"/>
        </w:rPr>
      </w:pPr>
      <w:r w:rsidRPr="00000000">
        <w:rPr>
          <w:b/>
          <w:sz w:val="26"/>
          <w:szCs w:val="26"/>
          <w:rtl w:val="0"/>
        </w:rPr>
        <w:t>III. Substitutivos, Emendas ou subemendas ao Projeto</w:t>
      </w:r>
    </w:p>
    <w:p w:rsidR="00000000" w:rsidRPr="00000000" w:rsidP="00000000" w14:paraId="00000022">
      <w:pPr>
        <w:spacing w:line="276" w:lineRule="auto"/>
        <w:ind w:firstLine="720"/>
        <w:jc w:val="both"/>
        <w:rPr>
          <w:sz w:val="26"/>
          <w:szCs w:val="26"/>
        </w:rPr>
      </w:pPr>
      <w:r w:rsidRPr="00000000">
        <w:rPr>
          <w:sz w:val="26"/>
          <w:szCs w:val="26"/>
          <w:rtl w:val="0"/>
        </w:rPr>
        <w:t>O Relator não propõe qualquer alteração ao Projeto de Lei sob análise</w:t>
      </w:r>
    </w:p>
    <w:p w:rsidR="00000000" w:rsidRPr="00000000" w:rsidP="00000000" w14:paraId="00000023">
      <w:pPr>
        <w:spacing w:line="276" w:lineRule="auto"/>
        <w:jc w:val="both"/>
        <w:rPr>
          <w:b/>
          <w:sz w:val="26"/>
          <w:szCs w:val="26"/>
        </w:rPr>
      </w:pPr>
    </w:p>
    <w:p w:rsidR="00000000" w:rsidRPr="00000000" w:rsidP="00000000" w14:paraId="00000024">
      <w:pPr>
        <w:spacing w:line="276" w:lineRule="auto"/>
        <w:jc w:val="both"/>
        <w:rPr>
          <w:sz w:val="26"/>
          <w:szCs w:val="26"/>
        </w:rPr>
      </w:pPr>
      <w:r w:rsidRPr="00000000">
        <w:rPr>
          <w:b/>
          <w:sz w:val="26"/>
          <w:szCs w:val="26"/>
          <w:rtl w:val="0"/>
        </w:rPr>
        <w:t>IV. Decisão do Relator.</w:t>
      </w:r>
    </w:p>
    <w:p w:rsidR="00000000" w:rsidRPr="00000000" w:rsidP="00000000" w14:paraId="00000025">
      <w:pPr>
        <w:spacing w:line="276" w:lineRule="auto"/>
        <w:ind w:firstLine="720"/>
        <w:jc w:val="both"/>
        <w:rPr>
          <w:b/>
          <w:sz w:val="26"/>
          <w:szCs w:val="26"/>
        </w:rPr>
      </w:pPr>
      <w:r w:rsidRPr="00000000">
        <w:rPr>
          <w:sz w:val="26"/>
          <w:szCs w:val="26"/>
          <w:rtl w:val="0"/>
        </w:rPr>
        <w:t xml:space="preserve">Portanto, diante do exposto, esta relatoria considera que a presente propositura apresenta vícios de constitucionalidade, recebendo assim parecer </w:t>
      </w:r>
      <w:r w:rsidRPr="00000000">
        <w:rPr>
          <w:b/>
          <w:sz w:val="26"/>
          <w:szCs w:val="26"/>
          <w:rtl w:val="0"/>
        </w:rPr>
        <w:t>FAVORÁVEL.</w:t>
      </w:r>
    </w:p>
    <w:p w:rsidR="00000000" w:rsidRPr="00000000" w:rsidP="00000000" w14:paraId="00000026">
      <w:pPr>
        <w:spacing w:line="276" w:lineRule="auto"/>
        <w:jc w:val="left"/>
        <w:rPr>
          <w:b/>
          <w:sz w:val="26"/>
          <w:szCs w:val="26"/>
        </w:rPr>
      </w:pPr>
    </w:p>
    <w:p w:rsidR="00000000" w:rsidRPr="00000000" w:rsidP="00000000" w14:paraId="00000027">
      <w:pPr>
        <w:spacing w:line="276" w:lineRule="auto"/>
        <w:jc w:val="left"/>
        <w:rPr>
          <w:b/>
          <w:sz w:val="26"/>
          <w:szCs w:val="26"/>
        </w:rPr>
      </w:pPr>
    </w:p>
    <w:p w:rsidR="00000000" w:rsidRPr="00000000" w:rsidP="00000000" w14:paraId="00000028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76" w:lineRule="auto"/>
        <w:ind w:left="0" w:right="0" w:firstLine="0"/>
        <w:jc w:val="left"/>
        <w:rPr>
          <w:b/>
          <w:sz w:val="26"/>
          <w:szCs w:val="26"/>
        </w:rPr>
      </w:pPr>
    </w:p>
    <w:p w:rsidR="00000000" w:rsidRPr="00000000" w:rsidP="00000000" w14:paraId="00000029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76" w:lineRule="auto"/>
        <w:ind w:left="0" w:right="0" w:firstLine="0"/>
        <w:jc w:val="center"/>
        <w:rPr>
          <w:b/>
          <w:sz w:val="26"/>
          <w:szCs w:val="26"/>
        </w:rPr>
      </w:pPr>
      <w:r w:rsidRPr="00000000">
        <w:rPr>
          <w:b/>
          <w:i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  <w:rtl w:val="0"/>
        </w:rPr>
        <w:t xml:space="preserve">VEREADOR </w:t>
      </w:r>
      <w:r w:rsidRPr="00000000">
        <w:rPr>
          <w:b/>
          <w:sz w:val="26"/>
          <w:szCs w:val="26"/>
          <w:highlight w:val="white"/>
          <w:rtl w:val="0"/>
        </w:rPr>
        <w:t>JOÃO VICTOR GASPARINI</w:t>
      </w:r>
    </w:p>
    <w:p w:rsidR="00000000" w:rsidRPr="00000000" w:rsidP="00000000" w14:paraId="0000002A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76" w:lineRule="auto"/>
        <w:ind w:left="0" w:right="0" w:firstLine="0"/>
        <w:jc w:val="center"/>
        <w:rPr>
          <w:b/>
          <w:sz w:val="26"/>
          <w:szCs w:val="26"/>
        </w:rPr>
      </w:pPr>
      <w:r w:rsidRPr="00000000">
        <w:rPr>
          <w:b/>
          <w:i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  <w:rtl w:val="0"/>
        </w:rPr>
        <w:t>Presidente /relator</w:t>
      </w:r>
    </w:p>
    <w:p w:rsidR="00000000" w:rsidRPr="00000000" w:rsidP="00000000" w14:paraId="0000002B">
      <w:pPr>
        <w:spacing w:line="276" w:lineRule="auto"/>
        <w:jc w:val="left"/>
        <w:rPr>
          <w:b/>
          <w:sz w:val="26"/>
          <w:szCs w:val="26"/>
        </w:rPr>
      </w:pPr>
    </w:p>
    <w:p w:rsidR="00000000" w:rsidRPr="00000000" w:rsidP="00000000" w14:paraId="0000002C">
      <w:pPr>
        <w:spacing w:line="276" w:lineRule="auto"/>
        <w:jc w:val="center"/>
        <w:rPr>
          <w:sz w:val="26"/>
          <w:szCs w:val="26"/>
        </w:rPr>
      </w:pPr>
      <w:r w:rsidRPr="00000000">
        <w:rPr>
          <w:b/>
          <w:color w:val="000000"/>
          <w:sz w:val="26"/>
          <w:szCs w:val="26"/>
          <w:rtl w:val="0"/>
        </w:rPr>
        <w:t>PARECER CONJUNTO N.º</w:t>
      </w:r>
      <w:r w:rsidRPr="00000000">
        <w:rPr>
          <w:b/>
          <w:sz w:val="26"/>
          <w:szCs w:val="26"/>
          <w:rtl w:val="0"/>
        </w:rPr>
        <w:t xml:space="preserve"> </w:t>
      </w:r>
      <w:r w:rsidRPr="00000000">
        <w:rPr>
          <w:b/>
          <w:color w:val="000000"/>
          <w:sz w:val="26"/>
          <w:szCs w:val="26"/>
          <w:rtl w:val="0"/>
        </w:rPr>
        <w:t xml:space="preserve"> </w:t>
      </w:r>
      <w:r w:rsidRPr="00000000">
        <w:rPr>
          <w:b/>
          <w:sz w:val="26"/>
          <w:szCs w:val="26"/>
          <w:rtl w:val="0"/>
        </w:rPr>
        <w:t xml:space="preserve">     </w:t>
      </w:r>
      <w:r w:rsidRPr="00000000">
        <w:rPr>
          <w:b/>
          <w:color w:val="000000"/>
          <w:sz w:val="26"/>
          <w:szCs w:val="26"/>
          <w:rtl w:val="0"/>
        </w:rPr>
        <w:t xml:space="preserve">/2022 DA COMISSÃO DE JUSTIÇA E REDAÇÃO E DE </w:t>
      </w:r>
      <w:r w:rsidRPr="00000000">
        <w:rPr>
          <w:b/>
          <w:sz w:val="26"/>
          <w:szCs w:val="26"/>
          <w:rtl w:val="0"/>
        </w:rPr>
        <w:t>EDUCAÇÃO, SAÚDE, CULTURA, ESPORTE E ASSISTÊNCIA SOCIAL.</w:t>
      </w:r>
    </w:p>
    <w:p w:rsidR="00000000" w:rsidRPr="00000000" w:rsidP="00000000" w14:paraId="0000002D">
      <w:pPr>
        <w:spacing w:after="240" w:line="276" w:lineRule="auto"/>
        <w:rPr>
          <w:sz w:val="26"/>
          <w:szCs w:val="26"/>
        </w:rPr>
      </w:pPr>
    </w:p>
    <w:p w:rsidR="00000000" w:rsidRPr="00000000" w:rsidP="00000000" w14:paraId="0000002E">
      <w:pPr>
        <w:spacing w:line="276" w:lineRule="auto"/>
        <w:ind w:firstLine="720"/>
        <w:jc w:val="both"/>
        <w:rPr>
          <w:sz w:val="26"/>
          <w:szCs w:val="26"/>
        </w:rPr>
      </w:pPr>
      <w:r w:rsidRPr="00000000">
        <w:rPr>
          <w:color w:val="000000"/>
          <w:sz w:val="26"/>
          <w:szCs w:val="26"/>
          <w:rtl w:val="0"/>
        </w:rPr>
        <w:t>Seguindo o Voto exarado pelo Relator e conforme determina o artigo 35 e 39, combinados com o artigo 45</w:t>
      </w:r>
      <w:r w:rsidRPr="00000000">
        <w:rPr>
          <w:sz w:val="26"/>
          <w:szCs w:val="26"/>
          <w:rtl w:val="0"/>
        </w:rPr>
        <w:t xml:space="preserve"> da Resolução n°  276 de 09 de novembro de 2010, Regimento Interno da Câmara Municipal de Mogi Mirim, a Comissão Permanente de Justiça e Redação, conjuntamente com a Comissão Permanente de Educação, Saúde, Cultura, Esporte e Assistência Social emitem </w:t>
      </w:r>
      <w:r w:rsidRPr="00000000">
        <w:rPr>
          <w:color w:val="000000"/>
          <w:sz w:val="26"/>
          <w:szCs w:val="26"/>
          <w:rtl w:val="0"/>
        </w:rPr>
        <w:t xml:space="preserve">o presente </w:t>
      </w:r>
      <w:r w:rsidRPr="00000000">
        <w:rPr>
          <w:b/>
          <w:color w:val="000000"/>
          <w:sz w:val="26"/>
          <w:szCs w:val="26"/>
          <w:rtl w:val="0"/>
        </w:rPr>
        <w:t xml:space="preserve">PARECER FAVORÁVEL </w:t>
      </w:r>
      <w:r w:rsidRPr="00000000">
        <w:rPr>
          <w:color w:val="000000"/>
          <w:sz w:val="26"/>
          <w:szCs w:val="26"/>
          <w:rtl w:val="0"/>
        </w:rPr>
        <w:t xml:space="preserve">ao Projeto de Lei </w:t>
      </w:r>
      <w:r w:rsidRPr="00000000">
        <w:rPr>
          <w:sz w:val="26"/>
          <w:szCs w:val="26"/>
          <w:rtl w:val="0"/>
        </w:rPr>
        <w:t>n° 154 de 2022</w:t>
      </w:r>
      <w:r w:rsidRPr="00000000">
        <w:rPr>
          <w:color w:val="000000"/>
          <w:sz w:val="26"/>
          <w:szCs w:val="26"/>
          <w:rtl w:val="0"/>
        </w:rPr>
        <w:t>.</w:t>
      </w:r>
    </w:p>
    <w:p w:rsidR="00000000" w:rsidRPr="00000000" w:rsidP="00000000" w14:paraId="0000002F">
      <w:pPr>
        <w:spacing w:line="276" w:lineRule="auto"/>
        <w:jc w:val="both"/>
        <w:rPr>
          <w:sz w:val="26"/>
          <w:szCs w:val="26"/>
        </w:rPr>
      </w:pPr>
    </w:p>
    <w:p w:rsidR="00000000" w:rsidRPr="00000000" w:rsidP="00000000" w14:paraId="00000030">
      <w:pPr>
        <w:spacing w:line="276" w:lineRule="auto"/>
        <w:jc w:val="center"/>
        <w:rPr>
          <w:sz w:val="26"/>
          <w:szCs w:val="26"/>
        </w:rPr>
      </w:pPr>
      <w:r w:rsidRPr="00000000">
        <w:rPr>
          <w:color w:val="000000"/>
          <w:sz w:val="26"/>
          <w:szCs w:val="26"/>
          <w:highlight w:val="white"/>
          <w:rtl w:val="0"/>
        </w:rPr>
        <w:t xml:space="preserve">Sala das Comissões, em </w:t>
      </w:r>
      <w:r w:rsidRPr="00000000">
        <w:rPr>
          <w:sz w:val="26"/>
          <w:szCs w:val="26"/>
          <w:highlight w:val="white"/>
          <w:rtl w:val="0"/>
        </w:rPr>
        <w:t xml:space="preserve">23 </w:t>
      </w:r>
      <w:r w:rsidRPr="00000000">
        <w:rPr>
          <w:color w:val="000000"/>
          <w:sz w:val="26"/>
          <w:szCs w:val="26"/>
          <w:highlight w:val="white"/>
          <w:rtl w:val="0"/>
        </w:rPr>
        <w:t>de</w:t>
      </w:r>
      <w:r w:rsidRPr="00000000">
        <w:rPr>
          <w:sz w:val="26"/>
          <w:szCs w:val="26"/>
          <w:highlight w:val="white"/>
          <w:rtl w:val="0"/>
        </w:rPr>
        <w:t xml:space="preserve"> novembro </w:t>
      </w:r>
      <w:r w:rsidRPr="00000000">
        <w:rPr>
          <w:color w:val="000000"/>
          <w:sz w:val="26"/>
          <w:szCs w:val="26"/>
          <w:highlight w:val="white"/>
          <w:rtl w:val="0"/>
        </w:rPr>
        <w:t>de 2022.</w:t>
      </w:r>
    </w:p>
    <w:p w:rsidR="00000000" w:rsidRPr="00000000" w:rsidP="00000000" w14:paraId="00000031">
      <w:pPr>
        <w:spacing w:after="240"/>
        <w:rPr>
          <w:b/>
          <w:sz w:val="26"/>
          <w:szCs w:val="26"/>
        </w:rPr>
      </w:pPr>
    </w:p>
    <w:p w:rsidR="00000000" w:rsidRPr="00000000" w:rsidP="00000000" w14:paraId="00000032">
      <w:pPr>
        <w:jc w:val="center"/>
        <w:rPr>
          <w:b/>
          <w:sz w:val="26"/>
          <w:szCs w:val="26"/>
        </w:rPr>
      </w:pPr>
      <w:r w:rsidRPr="00000000">
        <w:rPr>
          <w:b/>
          <w:color w:val="000000"/>
          <w:sz w:val="26"/>
          <w:szCs w:val="26"/>
          <w:highlight w:val="white"/>
          <w:u w:val="single"/>
          <w:rtl w:val="0"/>
        </w:rPr>
        <w:t>COMISSÃO DE JUSTIÇA E REDAÇÃO</w:t>
      </w:r>
    </w:p>
    <w:p w:rsidR="00000000" w:rsidRPr="00000000" w:rsidP="00000000" w14:paraId="00000033">
      <w:pPr>
        <w:spacing w:after="240"/>
        <w:rPr>
          <w:sz w:val="26"/>
          <w:szCs w:val="26"/>
        </w:rPr>
      </w:pPr>
      <w:r w:rsidRPr="00000000">
        <w:rPr>
          <w:sz w:val="26"/>
          <w:szCs w:val="26"/>
          <w:rtl w:val="0"/>
        </w:rPr>
        <w:br/>
      </w:r>
    </w:p>
    <w:p w:rsidR="00000000" w:rsidRPr="00000000" w:rsidP="00000000" w14:paraId="00000034">
      <w:pPr>
        <w:jc w:val="center"/>
        <w:rPr>
          <w:b/>
          <w:sz w:val="26"/>
          <w:szCs w:val="26"/>
        </w:rPr>
      </w:pPr>
    </w:p>
    <w:p w:rsidR="00000000" w:rsidRPr="00000000" w:rsidP="00000000" w14:paraId="00000035">
      <w:pPr>
        <w:jc w:val="left"/>
        <w:rPr>
          <w:b/>
          <w:sz w:val="26"/>
          <w:szCs w:val="26"/>
        </w:rPr>
      </w:pPr>
    </w:p>
    <w:p w:rsidR="00000000" w:rsidRPr="00000000" w:rsidP="00000000" w14:paraId="00000036">
      <w:pPr>
        <w:jc w:val="left"/>
        <w:rPr>
          <w:b/>
          <w:sz w:val="26"/>
          <w:szCs w:val="26"/>
        </w:rPr>
      </w:pPr>
    </w:p>
    <w:p w:rsidR="00000000" w:rsidRPr="00000000" w:rsidP="00000000" w14:paraId="00000037">
      <w:pPr>
        <w:jc w:val="center"/>
        <w:rPr>
          <w:sz w:val="26"/>
          <w:szCs w:val="26"/>
        </w:rPr>
      </w:pPr>
      <w:r w:rsidRPr="00000000">
        <w:rPr>
          <w:b/>
          <w:color w:val="000000"/>
          <w:sz w:val="26"/>
          <w:szCs w:val="26"/>
          <w:highlight w:val="white"/>
          <w:rtl w:val="0"/>
        </w:rPr>
        <w:t>VEREADOR JOÃO VICTOR GASPARINI</w:t>
      </w:r>
    </w:p>
    <w:p w:rsidR="00000000" w:rsidRPr="00000000" w:rsidP="00000000" w14:paraId="00000038">
      <w:pPr>
        <w:jc w:val="center"/>
        <w:rPr>
          <w:color w:val="000000"/>
          <w:sz w:val="26"/>
          <w:szCs w:val="26"/>
          <w:highlight w:val="white"/>
        </w:rPr>
      </w:pPr>
      <w:r w:rsidRPr="00000000">
        <w:rPr>
          <w:color w:val="000000"/>
          <w:sz w:val="26"/>
          <w:szCs w:val="26"/>
          <w:highlight w:val="white"/>
          <w:rtl w:val="0"/>
        </w:rPr>
        <w:t>Presidente / R</w:t>
      </w:r>
      <w:r w:rsidRPr="00000000">
        <w:rPr>
          <w:sz w:val="26"/>
          <w:szCs w:val="26"/>
          <w:highlight w:val="white"/>
          <w:rtl w:val="0"/>
        </w:rPr>
        <w:t>elator</w:t>
      </w:r>
    </w:p>
    <w:p w:rsidR="00000000" w:rsidRPr="00000000" w:rsidP="00000000" w14:paraId="00000039">
      <w:pPr>
        <w:jc w:val="center"/>
        <w:rPr>
          <w:sz w:val="26"/>
          <w:szCs w:val="26"/>
        </w:rPr>
      </w:pPr>
    </w:p>
    <w:p w:rsidR="00000000" w:rsidRPr="00000000" w:rsidP="00000000" w14:paraId="0000003A">
      <w:pPr>
        <w:jc w:val="center"/>
        <w:rPr>
          <w:sz w:val="26"/>
          <w:szCs w:val="26"/>
        </w:rPr>
      </w:pPr>
    </w:p>
    <w:p w:rsidR="00000000" w:rsidRPr="00000000" w:rsidP="00000000" w14:paraId="0000003B">
      <w:pPr>
        <w:jc w:val="center"/>
        <w:rPr>
          <w:sz w:val="26"/>
          <w:szCs w:val="26"/>
        </w:rPr>
      </w:pPr>
    </w:p>
    <w:p w:rsidR="00000000" w:rsidRPr="00000000" w:rsidP="00000000" w14:paraId="0000003C">
      <w:pPr>
        <w:spacing w:after="240"/>
        <w:rPr>
          <w:sz w:val="26"/>
          <w:szCs w:val="26"/>
        </w:rPr>
      </w:pPr>
    </w:p>
    <w:p w:rsidR="00000000" w:rsidRPr="00000000" w:rsidP="00000000" w14:paraId="0000003D">
      <w:pPr>
        <w:jc w:val="center"/>
        <w:rPr>
          <w:sz w:val="26"/>
          <w:szCs w:val="26"/>
        </w:rPr>
      </w:pPr>
      <w:r w:rsidRPr="00000000">
        <w:rPr>
          <w:b/>
          <w:color w:val="000000"/>
          <w:sz w:val="26"/>
          <w:szCs w:val="26"/>
          <w:highlight w:val="white"/>
          <w:rtl w:val="0"/>
        </w:rPr>
        <w:t>VEREADORA MARA CRISTINA CHOQUETTA</w:t>
      </w:r>
    </w:p>
    <w:p w:rsidR="00000000" w:rsidRPr="00000000" w:rsidP="00000000" w14:paraId="0000003E">
      <w:pPr>
        <w:jc w:val="center"/>
        <w:rPr>
          <w:sz w:val="26"/>
          <w:szCs w:val="26"/>
        </w:rPr>
      </w:pPr>
      <w:r w:rsidRPr="00000000">
        <w:rPr>
          <w:color w:val="000000"/>
          <w:sz w:val="26"/>
          <w:szCs w:val="26"/>
          <w:highlight w:val="white"/>
          <w:rtl w:val="0"/>
        </w:rPr>
        <w:t>Vice-presidente</w:t>
      </w:r>
    </w:p>
    <w:p w:rsidR="00000000" w:rsidRPr="00000000" w:rsidP="00000000" w14:paraId="0000003F">
      <w:pPr>
        <w:spacing w:after="240"/>
        <w:rPr>
          <w:sz w:val="26"/>
          <w:szCs w:val="26"/>
        </w:rPr>
      </w:pPr>
    </w:p>
    <w:p w:rsidR="00000000" w:rsidRPr="00000000" w:rsidP="00000000" w14:paraId="00000040">
      <w:pPr>
        <w:spacing w:after="240"/>
        <w:rPr>
          <w:sz w:val="26"/>
          <w:szCs w:val="26"/>
        </w:rPr>
      </w:pPr>
      <w:r w:rsidRPr="00000000">
        <w:rPr>
          <w:sz w:val="26"/>
          <w:szCs w:val="26"/>
          <w:rtl w:val="0"/>
        </w:rPr>
        <w:br/>
      </w:r>
    </w:p>
    <w:p w:rsidR="00000000" w:rsidRPr="00000000" w:rsidP="00000000" w14:paraId="00000041">
      <w:pPr>
        <w:jc w:val="center"/>
        <w:rPr>
          <w:sz w:val="26"/>
          <w:szCs w:val="26"/>
        </w:rPr>
      </w:pPr>
      <w:r w:rsidRPr="00000000">
        <w:rPr>
          <w:b/>
          <w:sz w:val="26"/>
          <w:szCs w:val="26"/>
          <w:highlight w:val="white"/>
          <w:rtl w:val="0"/>
        </w:rPr>
        <w:t>VEREADORA DR. LÚCIA MARIA FERREIRA TENÓRIO</w:t>
      </w:r>
    </w:p>
    <w:p w:rsidR="00000000" w:rsidRPr="00000000" w:rsidP="00000000" w14:paraId="00000042">
      <w:pPr>
        <w:spacing w:after="0"/>
        <w:jc w:val="center"/>
        <w:rPr>
          <w:sz w:val="26"/>
          <w:szCs w:val="26"/>
        </w:rPr>
      </w:pPr>
      <w:r w:rsidRPr="00000000">
        <w:rPr>
          <w:color w:val="000000"/>
          <w:sz w:val="26"/>
          <w:szCs w:val="26"/>
          <w:highlight w:val="white"/>
          <w:rtl w:val="0"/>
        </w:rPr>
        <w:t>Membro </w:t>
      </w:r>
    </w:p>
    <w:p w:rsidR="00000000" w:rsidRPr="00000000" w:rsidP="00000000" w14:paraId="00000043">
      <w:pPr>
        <w:spacing w:before="0" w:after="240"/>
        <w:jc w:val="left"/>
        <w:rPr>
          <w:rFonts w:ascii="Calibri" w:eastAsia="Calibri" w:hAnsi="Calibri" w:cs="Calibri"/>
          <w:b/>
          <w:sz w:val="26"/>
          <w:szCs w:val="26"/>
          <w:highlight w:val="white"/>
          <w:u w:val="single"/>
        </w:rPr>
      </w:pPr>
    </w:p>
    <w:p w:rsidR="00000000" w:rsidRPr="00000000" w:rsidP="00000000" w14:paraId="00000044">
      <w:pPr>
        <w:spacing w:before="0" w:after="240"/>
        <w:jc w:val="left"/>
        <w:rPr>
          <w:rFonts w:ascii="Calibri" w:eastAsia="Calibri" w:hAnsi="Calibri" w:cs="Calibri"/>
          <w:b/>
          <w:sz w:val="26"/>
          <w:szCs w:val="26"/>
          <w:highlight w:val="white"/>
          <w:u w:val="single"/>
        </w:rPr>
      </w:pPr>
    </w:p>
    <w:p w:rsidR="00000000" w:rsidRPr="00000000" w:rsidP="00000000" w14:paraId="00000045">
      <w:pPr>
        <w:jc w:val="center"/>
        <w:rPr>
          <w:rFonts w:ascii="Calibri" w:eastAsia="Calibri" w:hAnsi="Calibri" w:cs="Calibri"/>
          <w:b/>
          <w:sz w:val="26"/>
          <w:szCs w:val="26"/>
          <w:u w:val="single"/>
        </w:rPr>
      </w:pPr>
    </w:p>
    <w:p w:rsidR="00000000" w:rsidRPr="00000000" w:rsidP="00000000" w14:paraId="00000046">
      <w:pPr>
        <w:jc w:val="center"/>
        <w:rPr>
          <w:b/>
          <w:sz w:val="26"/>
          <w:szCs w:val="26"/>
          <w:u w:val="single"/>
        </w:rPr>
      </w:pPr>
    </w:p>
    <w:p w:rsidR="00000000" w:rsidRPr="00000000" w:rsidP="00000000" w14:paraId="00000047">
      <w:pPr>
        <w:jc w:val="center"/>
        <w:rPr>
          <w:b/>
          <w:sz w:val="26"/>
          <w:szCs w:val="26"/>
          <w:u w:val="single"/>
        </w:rPr>
      </w:pPr>
    </w:p>
    <w:p w:rsidR="00000000" w:rsidRPr="00000000" w:rsidP="00000000" w14:paraId="00000048">
      <w:pPr>
        <w:jc w:val="center"/>
        <w:rPr>
          <w:b/>
          <w:sz w:val="26"/>
          <w:szCs w:val="26"/>
          <w:u w:val="single"/>
        </w:rPr>
      </w:pPr>
      <w:r w:rsidRPr="00000000">
        <w:rPr>
          <w:b/>
          <w:sz w:val="26"/>
          <w:szCs w:val="26"/>
          <w:u w:val="single"/>
          <w:rtl w:val="0"/>
        </w:rPr>
        <w:t>COMISSÃO DE EDUCAÇÃO, SAÚDE, CULTURA, ESPORTE E ASSISTÊNCIA SOCIAL</w:t>
      </w:r>
    </w:p>
    <w:p w:rsidR="00000000" w:rsidRPr="00000000" w:rsidP="00000000" w14:paraId="00000049">
      <w:pPr>
        <w:jc w:val="center"/>
        <w:rPr>
          <w:b/>
          <w:sz w:val="26"/>
          <w:szCs w:val="26"/>
          <w:u w:val="single"/>
        </w:rPr>
      </w:pPr>
    </w:p>
    <w:p w:rsidR="00000000" w:rsidRPr="00000000" w:rsidP="00000000" w14:paraId="0000004A">
      <w:pPr>
        <w:rPr>
          <w:b/>
          <w:sz w:val="26"/>
          <w:szCs w:val="26"/>
          <w:u w:val="single"/>
        </w:rPr>
      </w:pPr>
    </w:p>
    <w:p w:rsidR="00000000" w:rsidRPr="00000000" w:rsidP="00000000" w14:paraId="0000004B">
      <w:pPr>
        <w:jc w:val="center"/>
        <w:rPr>
          <w:b/>
          <w:sz w:val="26"/>
          <w:szCs w:val="26"/>
          <w:u w:val="single"/>
        </w:rPr>
      </w:pPr>
    </w:p>
    <w:p w:rsidR="00000000" w:rsidRPr="00000000" w:rsidP="00000000" w14:paraId="0000004C">
      <w:pPr>
        <w:rPr>
          <w:b/>
          <w:sz w:val="26"/>
          <w:szCs w:val="26"/>
          <w:u w:val="single"/>
        </w:rPr>
      </w:pPr>
    </w:p>
    <w:p w:rsidR="00000000" w:rsidRPr="00000000" w:rsidP="00000000" w14:paraId="0000004D">
      <w:pPr>
        <w:rPr>
          <w:b/>
          <w:sz w:val="26"/>
          <w:szCs w:val="26"/>
          <w:u w:val="single"/>
        </w:rPr>
      </w:pPr>
    </w:p>
    <w:p w:rsidR="00000000" w:rsidRPr="00000000" w:rsidP="00000000" w14:paraId="0000004E">
      <w:pPr>
        <w:rPr>
          <w:b/>
          <w:sz w:val="26"/>
          <w:szCs w:val="26"/>
          <w:u w:val="single"/>
        </w:rPr>
      </w:pPr>
    </w:p>
    <w:p w:rsidR="00000000" w:rsidRPr="00000000" w:rsidP="00000000" w14:paraId="0000004F">
      <w:pPr>
        <w:jc w:val="center"/>
        <w:rPr>
          <w:b/>
          <w:sz w:val="26"/>
          <w:szCs w:val="26"/>
        </w:rPr>
      </w:pPr>
      <w:r w:rsidRPr="00000000">
        <w:rPr>
          <w:b/>
          <w:sz w:val="26"/>
          <w:szCs w:val="26"/>
          <w:rtl w:val="0"/>
        </w:rPr>
        <w:t>VEREADORA JOELMA FRANCO DA CUNHA</w:t>
      </w:r>
    </w:p>
    <w:p w:rsidR="00000000" w:rsidRPr="00000000" w:rsidP="00000000" w14:paraId="00000050">
      <w:pPr>
        <w:jc w:val="center"/>
        <w:rPr>
          <w:sz w:val="26"/>
          <w:szCs w:val="26"/>
        </w:rPr>
      </w:pPr>
      <w:r w:rsidRPr="00000000">
        <w:rPr>
          <w:sz w:val="26"/>
          <w:szCs w:val="26"/>
          <w:rtl w:val="0"/>
        </w:rPr>
        <w:t>Presidente</w:t>
      </w:r>
    </w:p>
    <w:p w:rsidR="00000000" w:rsidRPr="00000000" w:rsidP="00000000" w14:paraId="00000051">
      <w:pPr>
        <w:jc w:val="center"/>
        <w:rPr>
          <w:b/>
          <w:sz w:val="26"/>
          <w:szCs w:val="26"/>
        </w:rPr>
      </w:pPr>
    </w:p>
    <w:p w:rsidR="00000000" w:rsidRPr="00000000" w:rsidP="00000000" w14:paraId="00000052">
      <w:pPr>
        <w:rPr>
          <w:b/>
          <w:sz w:val="26"/>
          <w:szCs w:val="26"/>
        </w:rPr>
      </w:pPr>
    </w:p>
    <w:p w:rsidR="00000000" w:rsidRPr="00000000" w:rsidP="00000000" w14:paraId="00000053">
      <w:pPr>
        <w:rPr>
          <w:b/>
          <w:sz w:val="26"/>
          <w:szCs w:val="26"/>
        </w:rPr>
      </w:pPr>
    </w:p>
    <w:p w:rsidR="00000000" w:rsidRPr="00000000" w:rsidP="00000000" w14:paraId="00000054">
      <w:pPr>
        <w:rPr>
          <w:b/>
          <w:sz w:val="26"/>
          <w:szCs w:val="26"/>
        </w:rPr>
      </w:pPr>
    </w:p>
    <w:p w:rsidR="00000000" w:rsidRPr="00000000" w:rsidP="00000000" w14:paraId="00000055">
      <w:pPr>
        <w:rPr>
          <w:b/>
          <w:sz w:val="26"/>
          <w:szCs w:val="26"/>
        </w:rPr>
      </w:pPr>
    </w:p>
    <w:p w:rsidR="00000000" w:rsidRPr="00000000" w:rsidP="00000000" w14:paraId="00000056">
      <w:pPr>
        <w:rPr>
          <w:b/>
          <w:sz w:val="26"/>
          <w:szCs w:val="26"/>
        </w:rPr>
      </w:pPr>
    </w:p>
    <w:p w:rsidR="00000000" w:rsidRPr="00000000" w:rsidP="00000000" w14:paraId="00000057">
      <w:pPr>
        <w:jc w:val="center"/>
        <w:rPr>
          <w:b/>
          <w:sz w:val="26"/>
          <w:szCs w:val="26"/>
        </w:rPr>
      </w:pPr>
      <w:r w:rsidRPr="00000000">
        <w:rPr>
          <w:b/>
          <w:sz w:val="26"/>
          <w:szCs w:val="26"/>
          <w:rtl w:val="0"/>
        </w:rPr>
        <w:t>VEREADORA LÚCIA MARIA FERREIRA TENÓRIO</w:t>
      </w:r>
    </w:p>
    <w:p w:rsidR="00000000" w:rsidRPr="00000000" w:rsidP="00000000" w14:paraId="00000058">
      <w:pPr>
        <w:jc w:val="center"/>
        <w:rPr>
          <w:sz w:val="26"/>
          <w:szCs w:val="26"/>
        </w:rPr>
      </w:pPr>
      <w:r w:rsidRPr="00000000">
        <w:rPr>
          <w:sz w:val="26"/>
          <w:szCs w:val="26"/>
          <w:rtl w:val="0"/>
        </w:rPr>
        <w:t>Vice-Presidente</w:t>
      </w:r>
    </w:p>
    <w:p w:rsidR="00000000" w:rsidRPr="00000000" w:rsidP="00000000" w14:paraId="00000059">
      <w:pPr>
        <w:jc w:val="center"/>
        <w:rPr>
          <w:b/>
          <w:sz w:val="26"/>
          <w:szCs w:val="26"/>
        </w:rPr>
      </w:pPr>
    </w:p>
    <w:p w:rsidR="00000000" w:rsidRPr="00000000" w:rsidP="00000000" w14:paraId="0000005A">
      <w:pPr>
        <w:rPr>
          <w:b/>
          <w:sz w:val="26"/>
          <w:szCs w:val="26"/>
        </w:rPr>
      </w:pPr>
    </w:p>
    <w:p w:rsidR="00000000" w:rsidRPr="00000000" w:rsidP="00000000" w14:paraId="0000005B">
      <w:pPr>
        <w:rPr>
          <w:b/>
          <w:sz w:val="26"/>
          <w:szCs w:val="26"/>
        </w:rPr>
      </w:pPr>
    </w:p>
    <w:p w:rsidR="00000000" w:rsidRPr="00000000" w:rsidP="00000000" w14:paraId="0000005C">
      <w:pPr>
        <w:rPr>
          <w:b/>
          <w:sz w:val="26"/>
          <w:szCs w:val="26"/>
        </w:rPr>
      </w:pPr>
    </w:p>
    <w:p w:rsidR="00000000" w:rsidRPr="00000000" w:rsidP="00000000" w14:paraId="0000005D">
      <w:pPr>
        <w:rPr>
          <w:b/>
          <w:sz w:val="26"/>
          <w:szCs w:val="26"/>
        </w:rPr>
      </w:pPr>
    </w:p>
    <w:p w:rsidR="00000000" w:rsidRPr="00000000" w:rsidP="00000000" w14:paraId="0000005E">
      <w:pPr>
        <w:rPr>
          <w:b/>
          <w:sz w:val="26"/>
          <w:szCs w:val="26"/>
        </w:rPr>
      </w:pPr>
    </w:p>
    <w:p w:rsidR="00000000" w:rsidRPr="00000000" w:rsidP="00000000" w14:paraId="0000005F">
      <w:pPr>
        <w:jc w:val="center"/>
        <w:rPr>
          <w:b/>
          <w:sz w:val="26"/>
          <w:szCs w:val="26"/>
        </w:rPr>
      </w:pPr>
      <w:r w:rsidRPr="00000000">
        <w:rPr>
          <w:b/>
          <w:sz w:val="26"/>
          <w:szCs w:val="26"/>
          <w:rtl w:val="0"/>
        </w:rPr>
        <w:t>VEREADOR MARCIO EVANDRO RIBEIRO</w:t>
      </w:r>
    </w:p>
    <w:p w:rsidR="00000000" w:rsidRPr="00000000" w:rsidP="00000000" w14:paraId="00000060">
      <w:pPr>
        <w:jc w:val="center"/>
        <w:rPr>
          <w:b/>
          <w:sz w:val="26"/>
          <w:szCs w:val="26"/>
        </w:rPr>
      </w:pPr>
      <w:r w:rsidRPr="00000000">
        <w:rPr>
          <w:sz w:val="26"/>
          <w:szCs w:val="26"/>
          <w:rtl w:val="0"/>
        </w:rPr>
        <w:t>Membro</w:t>
      </w:r>
      <w:r w:rsidRPr="00000000">
        <w:rPr>
          <w:b/>
          <w:sz w:val="26"/>
          <w:szCs w:val="26"/>
          <w:rtl w:val="0"/>
        </w:rPr>
        <w:t xml:space="preserve"> </w:t>
      </w:r>
    </w:p>
    <w:p w:rsidR="00000000" w:rsidRPr="00000000" w:rsidP="00000000" w14:paraId="00000061">
      <w:pPr>
        <w:jc w:val="center"/>
        <w:rPr>
          <w:b/>
          <w:sz w:val="26"/>
          <w:szCs w:val="26"/>
        </w:rPr>
      </w:pPr>
    </w:p>
    <w:p w:rsidR="00000000" w:rsidRPr="00000000" w:rsidP="00000000" w14:paraId="00000062">
      <w:pPr>
        <w:spacing w:before="0" w:after="240"/>
        <w:jc w:val="left"/>
        <w:rPr>
          <w:rFonts w:ascii="Calibri" w:eastAsia="Calibri" w:hAnsi="Calibri" w:cs="Calibri"/>
          <w:b/>
          <w:sz w:val="26"/>
          <w:szCs w:val="26"/>
          <w:highlight w:val="white"/>
          <w:u w:val="single"/>
        </w:rPr>
      </w:pPr>
    </w:p>
    <w:sectPr>
      <w:headerReference w:type="even" r:id="rId4"/>
      <w:headerReference w:type="default" r:id="rId5"/>
      <w:footerReference w:type="default" r:id="rId6"/>
      <w:pgSz w:w="11907" w:h="16840" w:orient="portrait"/>
      <w:pgMar w:top="2268" w:right="1321" w:bottom="973" w:left="1418" w:header="720" w:footer="72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Calibri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68">
    <w:pPr>
      <w:keepNext w:val="0"/>
      <w:keepLines w:val="0"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tabs>
        <w:tab w:val="center" w:pos="4419"/>
        <w:tab w:val="right" w:pos="8838"/>
      </w:tabs>
      <w:spacing w:before="0" w:after="0" w:line="240" w:lineRule="auto"/>
      <w:ind w:left="0" w:right="0" w:firstLine="0"/>
      <w:jc w:val="center"/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18"/>
        <w:szCs w:val="18"/>
        <w:u w:val="none"/>
        <w:shd w:val="clear" w:color="auto" w:fill="auto"/>
        <w:vertAlign w:val="baseline"/>
      </w:rPr>
    </w:pPr>
    <w:r w:rsidRPr="00000000"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18"/>
        <w:szCs w:val="18"/>
        <w:u w:val="none"/>
        <w:shd w:val="clear" w:color="auto" w:fill="auto"/>
        <w:vertAlign w:val="baseline"/>
        <w:rtl w:val="0"/>
      </w:rPr>
      <w:t>Rua Dr. José Alves, 129 - Centro - Fone : (019) 3814.1200 - Fax: (019) 3814.1206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66">
    <w:pPr>
      <w:keepNext w:val="0"/>
      <w:keepLines w:val="0"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tabs>
        <w:tab w:val="center" w:pos="4419"/>
        <w:tab w:val="right" w:pos="8838"/>
      </w:tabs>
      <w:spacing w:before="0" w:after="0" w:line="240" w:lineRule="auto"/>
      <w:ind w:left="0" w:right="0" w:firstLine="0"/>
      <w:jc w:val="right"/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pPr>
    <w:r w:rsidRPr="00000000"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fldChar w:fldCharType="begin"/>
    </w:r>
    <w:r w:rsidRPr="00000000"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instrText>PAGE</w:instrText>
    </w:r>
    <w:r w:rsidRPr="00000000"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fldChar w:fldCharType="separate"/>
    </w:r>
    <w:r w:rsidRPr="00000000"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fldChar w:fldCharType="end"/>
    </w:r>
  </w:p>
  <w:p w:rsidR="00000000" w:rsidRPr="00000000" w:rsidP="00000000" w14:paraId="00000067">
    <w:pPr>
      <w:keepNext w:val="0"/>
      <w:keepLines w:val="0"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tabs>
        <w:tab w:val="center" w:pos="4419"/>
        <w:tab w:val="right" w:pos="8838"/>
      </w:tabs>
      <w:spacing w:before="0" w:after="0" w:line="240" w:lineRule="auto"/>
      <w:ind w:left="0" w:right="360" w:firstLine="0"/>
      <w:jc w:val="left"/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63">
    <w:pPr>
      <w:keepNext w:val="0"/>
      <w:keepLines w:val="0"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0" w:after="0" w:line="240" w:lineRule="auto"/>
      <w:ind w:left="0" w:right="360" w:firstLine="0"/>
      <w:jc w:val="left"/>
      <w:rPr>
        <w:rFonts w:ascii="Arial" w:eastAsia="Arial" w:hAnsi="Arial" w:cs="Arial"/>
        <w:b/>
        <w:i w:val="0"/>
        <w:smallCaps w:val="0"/>
        <w:strike w:val="0"/>
        <w:color w:val="000000"/>
        <w:sz w:val="34"/>
        <w:szCs w:val="34"/>
        <w:u w:val="none"/>
        <w:shd w:val="clear" w:color="auto" w:fill="auto"/>
        <w:vertAlign w:val="baseline"/>
      </w:rPr>
    </w:pPr>
    <w:r w:rsidRPr="00000000"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drawing>
        <wp:inline distT="0" distB="0" distL="0" distR="0">
          <wp:extent cx="1038225" cy="752475"/>
          <wp:effectExtent l="0" t="0" r="0" b="0"/>
          <wp:docPr id="1" name="image1.jpg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0440622" name="image1.jpg" descr="brasaomm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038225" cy="752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  <w:rtl w:val="0"/>
      </w:rPr>
      <w:t xml:space="preserve">         </w:t>
    </w:r>
    <w:r w:rsidRPr="00000000">
      <w:rPr>
        <w:rFonts w:ascii="Arial" w:eastAsia="Arial" w:hAnsi="Arial" w:cs="Arial"/>
        <w:b/>
        <w:i w:val="0"/>
        <w:smallCaps w:val="0"/>
        <w:strike w:val="0"/>
        <w:color w:val="000000"/>
        <w:sz w:val="34"/>
        <w:szCs w:val="34"/>
        <w:u w:val="none"/>
        <w:shd w:val="clear" w:color="auto" w:fill="auto"/>
        <w:vertAlign w:val="baseline"/>
        <w:rtl w:val="0"/>
      </w:rPr>
      <w:t>CÂMARA MUNICIPAL DE MOGI MIRIM</w:t>
    </w:r>
  </w:p>
  <w:p w:rsidR="00000000" w:rsidRPr="00000000" w:rsidP="00000000" w14:paraId="00000064">
    <w:pPr>
      <w:keepNext w:val="0"/>
      <w:keepLines w:val="0"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tabs>
        <w:tab w:val="center" w:pos="4419"/>
        <w:tab w:val="right" w:pos="7513"/>
        <w:tab w:val="right" w:pos="8838"/>
      </w:tabs>
      <w:spacing w:before="0" w:after="0" w:line="240" w:lineRule="auto"/>
      <w:ind w:left="0" w:right="0" w:firstLine="0"/>
      <w:jc w:val="center"/>
      <w:rPr>
        <w:rFonts w:ascii="Arial" w:eastAsia="Arial" w:hAnsi="Arial" w:cs="Arial"/>
        <w:b/>
        <w:i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pPr>
    <w:r w:rsidRPr="00000000">
      <w:rPr>
        <w:rFonts w:ascii="Arial" w:eastAsia="Arial" w:hAnsi="Arial" w:cs="Arial"/>
        <w:b/>
        <w:i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  <w:rtl w:val="0"/>
      </w:rPr>
      <w:t>Estado de São Paulo</w:t>
    </w:r>
  </w:p>
  <w:p w:rsidR="00000000" w:rsidRPr="00000000" w:rsidP="00000000" w14:paraId="00000065">
    <w:pPr>
      <w:keepNext w:val="0"/>
      <w:keepLines w:val="0"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tabs>
        <w:tab w:val="center" w:pos="4419"/>
        <w:tab w:val="right" w:pos="7513"/>
        <w:tab w:val="right" w:pos="8838"/>
      </w:tabs>
      <w:spacing w:before="0" w:after="0" w:line="240" w:lineRule="auto"/>
      <w:ind w:left="0" w:right="0" w:firstLine="0"/>
      <w:jc w:val="right"/>
      <w:rPr>
        <w:i/>
        <w:sz w:val="24"/>
        <w:szCs w:val="24"/>
        <w:u w:val="single"/>
      </w:rPr>
    </w:pPr>
    <w:r w:rsidRPr="00000000">
      <w:rPr>
        <w:i/>
        <w:sz w:val="24"/>
        <w:szCs w:val="24"/>
        <w:u w:val="single"/>
        <w:rtl w:val="0"/>
      </w:rPr>
      <w:t>Parecer ao PL n° 154/2022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480" w:after="120" w:line="240" w:lineRule="auto"/>
      <w:ind w:left="0" w:right="0" w:firstLine="0"/>
      <w:jc w:val="left"/>
      <w:outlineLvl w:val="0"/>
    </w:pPr>
    <w:rPr>
      <w:rFonts w:ascii="Times New Roman" w:eastAsia="Times New Roman" w:hAnsi="Times New Roman" w:cs="Times New Roman"/>
      <w:b/>
      <w:i w:val="0"/>
      <w:smallCaps w:val="0"/>
      <w:strike w:val="0"/>
      <w:color w:val="000000"/>
      <w:sz w:val="48"/>
      <w:szCs w:val="48"/>
      <w:u w:val="none"/>
      <w:shd w:val="clear" w:color="auto" w:fill="auto"/>
      <w:vertAlign w:val="baseline"/>
    </w:rPr>
  </w:style>
  <w:style w:type="paragraph" w:styleId="Heading2">
    <w:name w:val="heading 2"/>
    <w:basedOn w:val="Normal"/>
    <w:next w:val="Normal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360" w:after="80" w:line="240" w:lineRule="auto"/>
      <w:ind w:left="0" w:right="0" w:firstLine="0"/>
      <w:jc w:val="left"/>
      <w:outlineLvl w:val="1"/>
    </w:pPr>
    <w:rPr>
      <w:rFonts w:ascii="Times New Roman" w:eastAsia="Times New Roman" w:hAnsi="Times New Roman" w:cs="Times New Roman"/>
      <w:b/>
      <w:i w:val="0"/>
      <w:smallCaps w:val="0"/>
      <w:strike w:val="0"/>
      <w:color w:val="000000"/>
      <w:sz w:val="36"/>
      <w:szCs w:val="36"/>
      <w:u w:val="none"/>
      <w:shd w:val="clear" w:color="auto" w:fill="auto"/>
      <w:vertAlign w:val="baseline"/>
    </w:rPr>
  </w:style>
  <w:style w:type="paragraph" w:styleId="Heading3">
    <w:name w:val="heading 3"/>
    <w:basedOn w:val="Normal"/>
    <w:next w:val="Normal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280" w:after="80" w:line="240" w:lineRule="auto"/>
      <w:ind w:left="0" w:right="0" w:firstLine="0"/>
      <w:jc w:val="left"/>
      <w:outlineLvl w:val="2"/>
    </w:pPr>
    <w:rPr>
      <w:rFonts w:ascii="Times New Roman" w:eastAsia="Times New Roman" w:hAnsi="Times New Roman" w:cs="Times New Roman"/>
      <w:b/>
      <w:i w:val="0"/>
      <w:smallCaps w:val="0"/>
      <w:strike w:val="0"/>
      <w:color w:val="000000"/>
      <w:sz w:val="28"/>
      <w:szCs w:val="28"/>
      <w:u w:val="none"/>
      <w:shd w:val="clear" w:color="auto" w:fill="auto"/>
      <w:vertAlign w:val="baseline"/>
    </w:rPr>
  </w:style>
  <w:style w:type="paragraph" w:styleId="Heading4">
    <w:name w:val="heading 4"/>
    <w:basedOn w:val="Normal"/>
    <w:next w:val="Normal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240" w:after="40" w:line="240" w:lineRule="auto"/>
      <w:ind w:left="0" w:right="0" w:firstLine="0"/>
      <w:jc w:val="left"/>
      <w:outlineLvl w:val="3"/>
    </w:pPr>
    <w:rPr>
      <w:rFonts w:ascii="Times New Roman" w:eastAsia="Times New Roman" w:hAnsi="Times New Roman" w:cs="Times New Roman"/>
      <w:b/>
      <w:i w:val="0"/>
      <w:smallCaps w:val="0"/>
      <w:strike w:val="0"/>
      <w:color w:val="000000"/>
      <w:sz w:val="24"/>
      <w:szCs w:val="24"/>
      <w:u w:val="none"/>
      <w:shd w:val="clear" w:color="auto" w:fill="auto"/>
      <w:vertAlign w:val="baseline"/>
    </w:rPr>
  </w:style>
  <w:style w:type="paragraph" w:styleId="Heading5">
    <w:name w:val="heading 5"/>
    <w:basedOn w:val="Normal"/>
    <w:next w:val="Normal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220" w:after="40" w:line="240" w:lineRule="auto"/>
      <w:ind w:left="0" w:right="0" w:firstLine="0"/>
      <w:jc w:val="left"/>
      <w:outlineLvl w:val="4"/>
    </w:pPr>
    <w:rPr>
      <w:rFonts w:ascii="Times New Roman" w:eastAsia="Times New Roman" w:hAnsi="Times New Roman" w:cs="Times New Roman"/>
      <w:b/>
      <w:i w:val="0"/>
      <w:smallCaps w:val="0"/>
      <w:strike w:val="0"/>
      <w:color w:val="000000"/>
      <w:sz w:val="22"/>
      <w:szCs w:val="22"/>
      <w:u w:val="none"/>
      <w:shd w:val="clear" w:color="auto" w:fill="auto"/>
      <w:vertAlign w:val="baseline"/>
    </w:rPr>
  </w:style>
  <w:style w:type="paragraph" w:styleId="Heading6">
    <w:name w:val="heading 6"/>
    <w:basedOn w:val="Normal"/>
    <w:next w:val="Normal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200" w:after="40" w:line="240" w:lineRule="auto"/>
      <w:ind w:left="0" w:right="0" w:firstLine="0"/>
      <w:jc w:val="left"/>
      <w:outlineLvl w:val="5"/>
    </w:pPr>
    <w:rPr>
      <w:rFonts w:ascii="Times New Roman" w:eastAsia="Times New Roman" w:hAnsi="Times New Roman" w:cs="Times New Roman"/>
      <w:b/>
      <w:i w:val="0"/>
      <w:smallCaps w:val="0"/>
      <w:strike w:val="0"/>
      <w:color w:val="000000"/>
      <w:sz w:val="20"/>
      <w:szCs w:val="20"/>
      <w:u w:val="none"/>
      <w:shd w:val="clear" w:color="auto" w:fill="auto"/>
      <w:vertAlign w:val="baseli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480" w:after="120" w:line="240" w:lineRule="auto"/>
      <w:ind w:left="0" w:right="0" w:firstLine="0"/>
      <w:jc w:val="left"/>
    </w:pPr>
    <w:rPr>
      <w:rFonts w:ascii="Times New Roman" w:eastAsia="Times New Roman" w:hAnsi="Times New Roman" w:cs="Times New Roman"/>
      <w:b/>
      <w:i w:val="0"/>
      <w:smallCaps w:val="0"/>
      <w:strike w:val="0"/>
      <w:color w:val="000000"/>
      <w:sz w:val="72"/>
      <w:szCs w:val="72"/>
      <w:u w:val="none"/>
      <w:shd w:val="clear" w:color="auto" w:fill="auto"/>
      <w:vertAlign w:val="baseline"/>
    </w:rPr>
  </w:style>
  <w:style w:type="paragraph" w:styleId="Subtitle">
    <w:name w:val="Subtitle"/>
    <w:basedOn w:val="Normal"/>
    <w:next w:val="Normal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360" w:after="80" w:line="240" w:lineRule="auto"/>
      <w:ind w:left="0" w:right="0" w:firstLine="0"/>
      <w:jc w:val="left"/>
    </w:pPr>
    <w:rPr>
      <w:rFonts w:ascii="Georgia" w:eastAsia="Georgia" w:hAnsi="Georgia" w:cs="Georgia"/>
      <w:b w:val="0"/>
      <w:i/>
      <w:smallCaps w:val="0"/>
      <w:strike w:val="0"/>
      <w:color w:val="666666"/>
      <w:sz w:val="48"/>
      <w:szCs w:val="48"/>
      <w:u w:val="none"/>
      <w:shd w:val="clear" w:color="auto" w:fill="auto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