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154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241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7">
      <w:pPr>
        <w:spacing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Autor: Vereador Geraldo Vicente Bertanha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09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Conforme determinam os artigos 35 e 39, combinados com o artigo 45 da Resolução 276 de 09 de novembro de 2010 – Regimento Interno da Câmara Municipal, a Comissão Permanente de Justiça e Redação, conjuntamente com a Comissão Permanente de Educação, Saúde, Cultura, Esporte e Assistência Social emitem o presente Relatório acerca do Projeto de Lei n.º 154/2022, sob </w:t>
      </w:r>
      <w:r w:rsidRPr="00000000">
        <w:rPr>
          <w:b/>
          <w:sz w:val="26"/>
          <w:szCs w:val="26"/>
          <w:rtl w:val="0"/>
        </w:rPr>
        <w:t>a relatoria do Vereador João Victor  Gasparini.</w:t>
      </w:r>
    </w:p>
    <w:p w:rsidR="00000000" w:rsidRPr="00000000" w:rsidP="00000000" w14:paraId="0000000A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 iniciativa do Vereador Geraldo Vicente Bertanha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sz w:val="26"/>
          <w:szCs w:val="26"/>
          <w:rtl w:val="0"/>
        </w:rPr>
        <w:t xml:space="preserve">o Projeto de Lei n° 154 de 2022 dispõe sobre a </w:t>
      </w:r>
      <w:r w:rsidRPr="00000000">
        <w:rPr>
          <w:b/>
          <w:color w:val="000000"/>
          <w:sz w:val="26"/>
          <w:szCs w:val="26"/>
          <w:rtl w:val="0"/>
        </w:rPr>
        <w:t>“</w:t>
      </w:r>
      <w:r w:rsidRPr="00000000">
        <w:rPr>
          <w:b/>
          <w:sz w:val="26"/>
          <w:szCs w:val="26"/>
          <w:rtl w:val="0"/>
        </w:rPr>
        <w:t xml:space="preserve">Obrigatoriedade de a Prefeitura divulgar, no portal (site) do Município, por meio de um ícone específico - ‘Link da Mulher’ - bem como nas redes sociais -, todas as informações sobre os serviços prestados às mulheres no âmbito do Município de Mogi Mirim". </w:t>
      </w:r>
    </w:p>
    <w:p w:rsidR="00000000" w:rsidRPr="00000000" w:rsidP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 propositura em análise visa dar publicidade e transparência e prestar informações importantes ao público feminino da cidade de Mogi Mirim, que por ventura precise de serviços, principalmente quando vítimas de violência doméstica.</w:t>
      </w:r>
    </w:p>
    <w:p w:rsidR="00000000" w:rsidRPr="00000000" w:rsidP="00000000" w14:paraId="0000000E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Inicialmente, cumpre destacar que a Comissão de Justiça e Redação requereu parecer da SGP - Soluções em Gestão Pública - para avaliação do Projeto de Lei ora analisado, através da CONSULTA/0464/2022/MN/G de 7 de novembro de 2022, com parecer pela constitucionalidade da matéria.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Trata-se de assunto que se enquadra nas competências legislativas do Município, conforme determina o artigo 30, inciso I da Constituição Federal, no que se refere em legislar sobre assuntos de interesse local. Do mesmo modo, a Constituição garante aos Municípios brasileiros o poder de exercitar plenamente a competência legislativa de suplementar as legislações estadual e federal, naquilo que for cabível e disser respeito ao interesse local (inc. II do art. 30 da CF).</w:t>
      </w:r>
    </w:p>
    <w:p w:rsidR="00000000" w:rsidRPr="00000000" w:rsidP="00000000" w14:paraId="00000012">
      <w:pPr>
        <w:spacing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Em relação à legalidade do Projeto de Lei em epígrafe, a Lei Federal n° 11.340, que </w:t>
      </w:r>
      <w:r w:rsidRPr="00000000">
        <w:rPr>
          <w:b/>
          <w:sz w:val="26"/>
          <w:szCs w:val="26"/>
          <w:rtl w:val="0"/>
        </w:rPr>
        <w:t>“</w:t>
      </w:r>
      <w:r w:rsidRPr="00000000">
        <w:rPr>
          <w:b/>
          <w:i/>
          <w:sz w:val="26"/>
          <w:szCs w:val="26"/>
          <w:rtl w:val="0"/>
        </w:rPr>
        <w:t xml:space="preserve">Cria mecanismos para coibir a violência doméstica e familiar contra a mulher, nos termos do § 8º do art. 226 da Constituição Federal, da Convenção sobre a Eliminação de Todas as Formas de Discriminação contra as Mulheres e da Convenção Interamericana para Prevenir, Punir e Erradicar a Violência contra a Mulher (…)”  </w:t>
      </w:r>
      <w:r w:rsidRPr="00000000">
        <w:rPr>
          <w:sz w:val="26"/>
          <w:szCs w:val="26"/>
          <w:rtl w:val="0"/>
        </w:rPr>
        <w:t>conhecida como Lei Maria da Penha, garantiu o dever de todos os entes federados em realizar adaptação de seus órgãos e de seus programas às diretrizes e aos princípios da mencionada Lei, esta disposição está em seus artigos 36 e 37:</w:t>
      </w:r>
    </w:p>
    <w:p w:rsidR="00000000" w:rsidRPr="00000000" w:rsidP="00000000" w14:paraId="00000013">
      <w:pPr>
        <w:spacing w:before="300" w:after="300" w:line="276" w:lineRule="auto"/>
        <w:ind w:left="216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36. A União, os Estados, o Distrito Federal e os Municípios promoverão a adaptação de seus órgãos e de seus programas às diretrizes e aos princípios desta Lei.</w:t>
      </w:r>
    </w:p>
    <w:p w:rsidR="00000000" w:rsidRPr="00000000" w:rsidP="00000000" w14:paraId="00000014">
      <w:pPr>
        <w:spacing w:before="300" w:after="300" w:line="276" w:lineRule="auto"/>
        <w:ind w:left="2160" w:firstLine="580"/>
        <w:jc w:val="both"/>
        <w:rPr>
          <w:sz w:val="26"/>
          <w:szCs w:val="26"/>
        </w:rPr>
      </w:pPr>
      <w:r w:rsidRPr="00000000">
        <w:rPr>
          <w:i/>
          <w:sz w:val="26"/>
          <w:szCs w:val="26"/>
          <w:rtl w:val="0"/>
        </w:rPr>
        <w:t>Art. 37. A defesa dos interesses e direitos transindividuais previstos nesta Lei poderá ser exercida, concorrentemente, pelo Ministério Público e por associação de atuação na área, regularmente constituída há pelo menos um ano, nos termos da legislação civil.”</w:t>
      </w:r>
    </w:p>
    <w:p w:rsidR="00000000" w:rsidRPr="00000000" w:rsidP="00000000" w14:paraId="00000015">
      <w:pPr>
        <w:spacing w:before="300" w:after="3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Neste mesmo sentido, a Lei Maria da Penha também assegura às mulheres as condições para o exercício efetivo dos direitos à vida, à segurança e etc, conforme disposto em seu artigo 3°:</w:t>
      </w:r>
    </w:p>
    <w:p w:rsidR="00000000" w:rsidRPr="00000000" w:rsidP="00000000" w14:paraId="00000016">
      <w:pPr>
        <w:spacing w:before="300" w:after="300" w:line="276" w:lineRule="auto"/>
        <w:ind w:left="216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3º Serão asseguradas às mulheres as condições para o exercício efetivo dos direitos à vida, à segurança, à saúde, à alimentação, à educação, à cultura, à moradia, ao acesso à justiça, ao esporte, ao lazer, ao trabalho, à cidadania, à liberdade, à dignidade, ao respeito e à convivência familiar e comunitária.</w:t>
      </w:r>
    </w:p>
    <w:p w:rsidR="00000000" w:rsidRPr="00000000" w:rsidP="00000000" w14:paraId="00000017">
      <w:pPr>
        <w:spacing w:before="300" w:after="300" w:line="276" w:lineRule="auto"/>
        <w:ind w:left="216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§ 1º O poder público desenvolverá políticas que visem garantir os direitos humanos das mulheres no âmbito das relações domésticas e familiares no sentido de resguardá-las de toda forma de negligência, discriminação, exploração, violência, crueldade e opressão.</w:t>
      </w:r>
    </w:p>
    <w:p w:rsidR="00000000" w:rsidRPr="00000000" w:rsidP="00000000" w14:paraId="00000018">
      <w:pPr>
        <w:spacing w:before="300" w:after="300" w:line="276" w:lineRule="auto"/>
        <w:ind w:left="216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§ 2º Cabe à família, à sociedade e ao poder público criar as condições necessárias para o efetivo exercício dos direitos enunciados no caput.”</w:t>
      </w:r>
    </w:p>
    <w:p w:rsidR="00000000" w:rsidRPr="00000000" w:rsidP="00000000" w14:paraId="00000019">
      <w:pPr>
        <w:spacing w:before="300" w:after="3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Desta forma, a Propositura em análise se enquadra no referido dispositivo da Lei Federal nº 11.340, bem como no mencionado inciso II, artigo 30 da nossa Carta Magna, no que tange à suplementar a legislação federal e estadual. </w:t>
      </w:r>
    </w:p>
    <w:p w:rsidR="00000000" w:rsidRPr="00000000" w:rsidP="00000000" w14:paraId="0000001A">
      <w:pPr>
        <w:shd w:val="clear" w:color="auto" w:fill="FFFFFF"/>
        <w:spacing w:before="200" w:after="200" w:line="240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B">
      <w:pPr>
        <w:shd w:val="clear" w:color="auto" w:fill="FFFFFF"/>
        <w:spacing w:before="200" w:after="200" w:line="240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</w:t>
      </w:r>
    </w:p>
    <w:p w:rsidR="00000000" w:rsidRPr="00000000" w:rsidP="00000000" w14:paraId="0000001C">
      <w:pPr>
        <w:shd w:val="clear" w:color="auto" w:fill="FFFFFF"/>
        <w:spacing w:before="200" w:after="200" w:line="240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highlight w:val="white"/>
          <w:rtl w:val="0"/>
        </w:rPr>
        <w:t>II - suplementar a legislação federal e a estadual no que couber;”</w:t>
      </w:r>
    </w:p>
    <w:p w:rsidR="00000000" w:rsidRPr="00000000" w:rsidP="00000000" w14:paraId="0000001D">
      <w:pPr>
        <w:spacing w:before="300" w:after="30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Com relação à iniciativa da propositura, de origem parlamentar, visando garantir a transparência e publicidade de informações relevantes para a população por meios oficiais do Município, entendemos que se enquadra como iniciativa concorrente, uma vez que a matéria não está inserida no rol de iniciativas privativas dos chefes dos Poderes Executivo Federal, Estadual e Municipal. </w:t>
      </w:r>
    </w:p>
    <w:p w:rsidR="00000000" w:rsidRPr="00000000" w:rsidP="00000000" w14:paraId="0000001E">
      <w:pPr>
        <w:spacing w:before="300" w:after="30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Em relação ao aspecto gramatical e lógico, verifica-se que houve respeito às regras ortográficas e técnica legislativa, não havendo apontamentos neste sentido. </w:t>
      </w:r>
    </w:p>
    <w:p w:rsidR="00000000" w:rsidRPr="00000000" w:rsidP="00000000" w14:paraId="0000001F">
      <w:pPr>
        <w:spacing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Assim sendo, não se vislumbra irregularidades no Projeto de Lei em análise, motivo pelo qual não nos opomos à continuidade da proposta apresentada pelo vereador.</w:t>
      </w:r>
    </w:p>
    <w:p w:rsidR="00000000" w:rsidRPr="00000000" w:rsidP="00000000" w14:paraId="0000002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2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Relator não propõe qualquer alteração ao Projeto de Lei sob análise</w:t>
      </w:r>
    </w:p>
    <w:p w:rsidR="00000000" w:rsidRPr="00000000" w:rsidP="00000000" w14:paraId="00000023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4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5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6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7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sz w:val="26"/>
          <w:szCs w:val="26"/>
        </w:rPr>
      </w:pPr>
    </w:p>
    <w:p w:rsidR="00000000" w:rsidRPr="00000000" w:rsidP="00000000" w14:paraId="0000002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2B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C">
      <w:pPr>
        <w:spacing w:line="276" w:lineRule="auto"/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CONJUNTO N.º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b/>
          <w:color w:val="000000"/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     </w:t>
      </w:r>
      <w:r w:rsidRPr="00000000">
        <w:rPr>
          <w:b/>
          <w:color w:val="000000"/>
          <w:sz w:val="26"/>
          <w:szCs w:val="26"/>
          <w:rtl w:val="0"/>
        </w:rPr>
        <w:t xml:space="preserve">/2022 DA COMISSÃO DE JUSTIÇA E REDAÇÃO E DE </w:t>
      </w:r>
      <w:r w:rsidRPr="00000000">
        <w:rPr>
          <w:b/>
          <w:sz w:val="26"/>
          <w:szCs w:val="26"/>
          <w:rtl w:val="0"/>
        </w:rPr>
        <w:t>EDUCAÇÃO, SAÚDE, CULTURA, ESPORTE E ASSISTÊNCIA SOCIAL.</w:t>
      </w:r>
    </w:p>
    <w:p w:rsidR="00000000" w:rsidRPr="00000000" w:rsidP="00000000" w14:paraId="0000002D">
      <w:pPr>
        <w:spacing w:after="240" w:line="276" w:lineRule="auto"/>
        <w:rPr>
          <w:sz w:val="26"/>
          <w:szCs w:val="26"/>
        </w:rPr>
      </w:pPr>
    </w:p>
    <w:p w:rsidR="00000000" w:rsidRPr="00000000" w:rsidP="00000000" w14:paraId="0000002E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>Seguindo o Voto exarado pelo Relator e conforme determina o artigo 35 e 39, combinados com o artigo 45</w:t>
      </w:r>
      <w:r w:rsidRPr="00000000">
        <w:rPr>
          <w:sz w:val="26"/>
          <w:szCs w:val="26"/>
          <w:rtl w:val="0"/>
        </w:rPr>
        <w:t xml:space="preserve"> da Resolução n°  276 de 09 de novembro de 2010, Regimento Interno da Câmara Municipal de Mogi Mirim, a Comissão Permanente de Justiça e Redação, conjuntamente com a Comissão Permanente de Educação, Saúde, Cultura, Esporte e Assistência Social emitem </w:t>
      </w:r>
      <w:r w:rsidRPr="00000000">
        <w:rPr>
          <w:color w:val="000000"/>
          <w:sz w:val="26"/>
          <w:szCs w:val="26"/>
          <w:rtl w:val="0"/>
        </w:rPr>
        <w:t xml:space="preserve">o presente </w:t>
      </w:r>
      <w:r w:rsidRPr="00000000">
        <w:rPr>
          <w:b/>
          <w:color w:val="000000"/>
          <w:sz w:val="26"/>
          <w:szCs w:val="26"/>
          <w:rtl w:val="0"/>
        </w:rPr>
        <w:t xml:space="preserve">PARECER FAVORÁVEL </w:t>
      </w:r>
      <w:r w:rsidRPr="00000000">
        <w:rPr>
          <w:color w:val="000000"/>
          <w:sz w:val="26"/>
          <w:szCs w:val="26"/>
          <w:rtl w:val="0"/>
        </w:rPr>
        <w:t xml:space="preserve">ao Projeto de Lei </w:t>
      </w:r>
      <w:r w:rsidRPr="00000000">
        <w:rPr>
          <w:sz w:val="26"/>
          <w:szCs w:val="26"/>
          <w:rtl w:val="0"/>
        </w:rPr>
        <w:t>n° 154 de 2022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2F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30">
      <w:pPr>
        <w:spacing w:line="276" w:lineRule="auto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 xml:space="preserve">23 </w:t>
      </w:r>
      <w:r w:rsidRPr="00000000">
        <w:rPr>
          <w:color w:val="000000"/>
          <w:sz w:val="26"/>
          <w:szCs w:val="26"/>
          <w:highlight w:val="white"/>
          <w:rtl w:val="0"/>
        </w:rPr>
        <w:t>de</w:t>
      </w:r>
      <w:r w:rsidRPr="00000000">
        <w:rPr>
          <w:sz w:val="26"/>
          <w:szCs w:val="26"/>
          <w:highlight w:val="white"/>
          <w:rtl w:val="0"/>
        </w:rPr>
        <w:t xml:space="preserve"> novembro </w:t>
      </w:r>
      <w:r w:rsidRPr="00000000">
        <w:rPr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31">
      <w:pPr>
        <w:spacing w:after="240"/>
        <w:rPr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b/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3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34">
      <w:pPr>
        <w:jc w:val="center"/>
        <w:rPr>
          <w:b/>
          <w:sz w:val="26"/>
          <w:szCs w:val="26"/>
        </w:rPr>
      </w:pPr>
    </w:p>
    <w:p w:rsidR="00000000" w:rsidRPr="00000000" w:rsidP="00000000" w14:paraId="00000035">
      <w:pPr>
        <w:jc w:val="left"/>
        <w:rPr>
          <w:b/>
          <w:sz w:val="26"/>
          <w:szCs w:val="26"/>
        </w:rPr>
      </w:pPr>
    </w:p>
    <w:p w:rsidR="00000000" w:rsidRPr="00000000" w:rsidP="00000000" w14:paraId="00000036">
      <w:pPr>
        <w:jc w:val="left"/>
        <w:rPr>
          <w:b/>
          <w:sz w:val="26"/>
          <w:szCs w:val="26"/>
        </w:rPr>
      </w:pPr>
    </w:p>
    <w:p w:rsidR="00000000" w:rsidRPr="00000000" w:rsidP="00000000" w14:paraId="00000037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8">
      <w:pPr>
        <w:jc w:val="center"/>
        <w:rPr>
          <w:color w:val="000000"/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>Presidente / R</w:t>
      </w:r>
      <w:r w:rsidRPr="00000000">
        <w:rPr>
          <w:sz w:val="26"/>
          <w:szCs w:val="26"/>
          <w:highlight w:val="white"/>
          <w:rtl w:val="0"/>
        </w:rPr>
        <w:t>elator</w:t>
      </w:r>
    </w:p>
    <w:p w:rsidR="00000000" w:rsidRPr="00000000" w:rsidP="00000000" w14:paraId="00000039">
      <w:pPr>
        <w:jc w:val="center"/>
        <w:rPr>
          <w:sz w:val="26"/>
          <w:szCs w:val="26"/>
        </w:rPr>
      </w:pPr>
    </w:p>
    <w:p w:rsidR="00000000" w:rsidRPr="00000000" w:rsidP="00000000" w14:paraId="0000003A">
      <w:pPr>
        <w:jc w:val="center"/>
        <w:rPr>
          <w:sz w:val="26"/>
          <w:szCs w:val="26"/>
        </w:rPr>
      </w:pPr>
    </w:p>
    <w:p w:rsidR="00000000" w:rsidRPr="00000000" w:rsidP="00000000" w14:paraId="0000003B">
      <w:pPr>
        <w:jc w:val="center"/>
        <w:rPr>
          <w:sz w:val="26"/>
          <w:szCs w:val="26"/>
        </w:rPr>
      </w:pPr>
    </w:p>
    <w:p w:rsidR="00000000" w:rsidRPr="00000000" w:rsidP="00000000" w14:paraId="0000003C">
      <w:pPr>
        <w:spacing w:after="240"/>
        <w:rPr>
          <w:sz w:val="26"/>
          <w:szCs w:val="26"/>
        </w:rPr>
      </w:pPr>
    </w:p>
    <w:p w:rsidR="00000000" w:rsidRPr="00000000" w:rsidP="00000000" w14:paraId="0000003D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E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3F">
      <w:pPr>
        <w:spacing w:after="240"/>
        <w:rPr>
          <w:sz w:val="26"/>
          <w:szCs w:val="26"/>
        </w:rPr>
      </w:pPr>
    </w:p>
    <w:p w:rsidR="00000000" w:rsidRPr="00000000" w:rsidP="00000000" w14:paraId="00000040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41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42">
      <w:pPr>
        <w:spacing w:after="0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43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4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5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46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7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8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EDUCAÇÃO, SAÚDE, CULTURA, ESPORTE E ASSISTÊNCIA SOCIAL</w:t>
      </w:r>
    </w:p>
    <w:p w:rsidR="00000000" w:rsidRPr="00000000" w:rsidP="00000000" w14:paraId="00000049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A">
      <w:pPr>
        <w:rPr>
          <w:b/>
          <w:sz w:val="26"/>
          <w:szCs w:val="26"/>
          <w:u w:val="single"/>
        </w:rPr>
      </w:pPr>
    </w:p>
    <w:p w:rsidR="00000000" w:rsidRPr="00000000" w:rsidP="00000000" w14:paraId="0000004B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C">
      <w:pPr>
        <w:rPr>
          <w:b/>
          <w:sz w:val="26"/>
          <w:szCs w:val="26"/>
          <w:u w:val="single"/>
        </w:rPr>
      </w:pPr>
    </w:p>
    <w:p w:rsidR="00000000" w:rsidRPr="00000000" w:rsidP="00000000" w14:paraId="0000004D">
      <w:pPr>
        <w:rPr>
          <w:b/>
          <w:sz w:val="26"/>
          <w:szCs w:val="26"/>
          <w:u w:val="single"/>
        </w:rPr>
      </w:pPr>
    </w:p>
    <w:p w:rsidR="00000000" w:rsidRPr="00000000" w:rsidP="00000000" w14:paraId="0000004E">
      <w:pPr>
        <w:rPr>
          <w:b/>
          <w:sz w:val="26"/>
          <w:szCs w:val="26"/>
          <w:u w:val="single"/>
        </w:rPr>
      </w:pPr>
    </w:p>
    <w:p w:rsidR="00000000" w:rsidRPr="00000000" w:rsidP="00000000" w14:paraId="0000004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50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51">
      <w:pPr>
        <w:jc w:val="center"/>
        <w:rPr>
          <w:b/>
          <w:sz w:val="26"/>
          <w:szCs w:val="26"/>
        </w:rPr>
      </w:pPr>
    </w:p>
    <w:p w:rsidR="00000000" w:rsidRPr="00000000" w:rsidP="00000000" w14:paraId="00000052">
      <w:pPr>
        <w:rPr>
          <w:b/>
          <w:sz w:val="26"/>
          <w:szCs w:val="26"/>
        </w:rPr>
      </w:pPr>
    </w:p>
    <w:p w:rsidR="00000000" w:rsidRPr="00000000" w:rsidP="00000000" w14:paraId="00000053">
      <w:pPr>
        <w:rPr>
          <w:b/>
          <w:sz w:val="26"/>
          <w:szCs w:val="26"/>
        </w:rPr>
      </w:pPr>
    </w:p>
    <w:p w:rsidR="00000000" w:rsidRPr="00000000" w:rsidP="00000000" w14:paraId="00000054">
      <w:pPr>
        <w:rPr>
          <w:b/>
          <w:sz w:val="26"/>
          <w:szCs w:val="26"/>
        </w:rPr>
      </w:pPr>
    </w:p>
    <w:p w:rsidR="00000000" w:rsidRPr="00000000" w:rsidP="00000000" w14:paraId="00000055">
      <w:pPr>
        <w:rPr>
          <w:b/>
          <w:sz w:val="26"/>
          <w:szCs w:val="26"/>
        </w:rPr>
      </w:pPr>
    </w:p>
    <w:p w:rsidR="00000000" w:rsidRPr="00000000" w:rsidP="00000000" w14:paraId="00000056">
      <w:pPr>
        <w:rPr>
          <w:b/>
          <w:sz w:val="26"/>
          <w:szCs w:val="26"/>
        </w:rPr>
      </w:pPr>
    </w:p>
    <w:p w:rsidR="00000000" w:rsidRPr="00000000" w:rsidP="00000000" w14:paraId="0000005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58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9">
      <w:pPr>
        <w:jc w:val="center"/>
        <w:rPr>
          <w:b/>
          <w:sz w:val="26"/>
          <w:szCs w:val="26"/>
        </w:rPr>
      </w:pPr>
    </w:p>
    <w:p w:rsidR="00000000" w:rsidRPr="00000000" w:rsidP="00000000" w14:paraId="0000005A">
      <w:pPr>
        <w:rPr>
          <w:b/>
          <w:sz w:val="26"/>
          <w:szCs w:val="26"/>
        </w:rPr>
      </w:pPr>
    </w:p>
    <w:p w:rsidR="00000000" w:rsidRPr="00000000" w:rsidP="00000000" w14:paraId="0000005B">
      <w:pPr>
        <w:rPr>
          <w:b/>
          <w:sz w:val="26"/>
          <w:szCs w:val="26"/>
        </w:rPr>
      </w:pPr>
    </w:p>
    <w:p w:rsidR="00000000" w:rsidRPr="00000000" w:rsidP="00000000" w14:paraId="0000005C">
      <w:pPr>
        <w:rPr>
          <w:b/>
          <w:sz w:val="26"/>
          <w:szCs w:val="26"/>
        </w:rPr>
      </w:pPr>
    </w:p>
    <w:p w:rsidR="00000000" w:rsidRPr="00000000" w:rsidP="00000000" w14:paraId="0000005D">
      <w:pPr>
        <w:rPr>
          <w:b/>
          <w:sz w:val="26"/>
          <w:szCs w:val="26"/>
        </w:rPr>
      </w:pPr>
    </w:p>
    <w:p w:rsidR="00000000" w:rsidRPr="00000000" w:rsidP="00000000" w14:paraId="0000005E">
      <w:pPr>
        <w:rPr>
          <w:b/>
          <w:sz w:val="26"/>
          <w:szCs w:val="26"/>
        </w:rPr>
      </w:pPr>
    </w:p>
    <w:p w:rsidR="00000000" w:rsidRPr="00000000" w:rsidP="00000000" w14:paraId="0000005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60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61">
      <w:pPr>
        <w:jc w:val="center"/>
        <w:rPr>
          <w:b/>
          <w:sz w:val="26"/>
          <w:szCs w:val="26"/>
        </w:rPr>
      </w:pPr>
    </w:p>
    <w:p w:rsidR="00000000" w:rsidRPr="00000000" w:rsidP="00000000" w14:paraId="00000062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973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44062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6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right"/>
      <w:rPr>
        <w:i/>
        <w:sz w:val="24"/>
        <w:szCs w:val="24"/>
        <w:u w:val="single"/>
      </w:rPr>
    </w:pPr>
    <w:r w:rsidRPr="00000000">
      <w:rPr>
        <w:i/>
        <w:sz w:val="24"/>
        <w:szCs w:val="24"/>
        <w:u w:val="single"/>
        <w:rtl w:val="0"/>
      </w:rPr>
      <w:t>Parecer ao PL n° 154/2022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