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07" w:rsidRPr="00274755" w:rsidRDefault="001B30D2" w:rsidP="00CC6E07">
      <w:pPr>
        <w:pStyle w:val="Ttulo1"/>
        <w:keepLines w:val="0"/>
        <w:suppressAutoHyphens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</w:t>
      </w:r>
      <w:r w:rsidRPr="0027475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PROJETO DE LEI Nº 146 DE 2022</w:t>
      </w:r>
    </w:p>
    <w:p w:rsidR="00CC6E07" w:rsidRDefault="00274755" w:rsidP="00CC6E07">
      <w:pPr>
        <w:ind w:left="37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74755">
        <w:rPr>
          <w:rFonts w:ascii="Times New Roman" w:hAnsi="Times New Roman" w:cs="Times New Roman"/>
          <w:b/>
          <w:sz w:val="24"/>
          <w:szCs w:val="24"/>
          <w:u w:val="single"/>
        </w:rPr>
        <w:t>AUTÓGRAFO N° 156 DE 2022</w:t>
      </w:r>
    </w:p>
    <w:p w:rsidR="00274755" w:rsidRPr="00274755" w:rsidRDefault="00274755" w:rsidP="00CC6E07">
      <w:pPr>
        <w:ind w:left="37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6E07" w:rsidRPr="00CC6E07" w:rsidRDefault="001B30D2" w:rsidP="00CC6E07">
      <w:pPr>
        <w:pStyle w:val="Corpodetexto"/>
        <w:ind w:left="3780"/>
        <w:rPr>
          <w:sz w:val="24"/>
        </w:rPr>
      </w:pPr>
      <w:r w:rsidRPr="00CC6E07">
        <w:rPr>
          <w:b/>
          <w:sz w:val="24"/>
        </w:rPr>
        <w:t>ESTIMA A RECEITA E FIXA A DESPESA DO MUNICÍPIO DE MOGI MIRIM PARA O EXERCÍCIO DE 2023.</w:t>
      </w:r>
    </w:p>
    <w:p w:rsidR="00CC6E07" w:rsidRPr="00CC6E07" w:rsidRDefault="00CC6E07" w:rsidP="00CC6E07">
      <w:pPr>
        <w:pStyle w:val="Corpodetexto"/>
        <w:rPr>
          <w:sz w:val="24"/>
        </w:rPr>
      </w:pPr>
    </w:p>
    <w:p w:rsidR="00CC6E07" w:rsidRDefault="001B30D2" w:rsidP="00CC6E07">
      <w:pPr>
        <w:pStyle w:val="NormalWeb"/>
        <w:spacing w:before="0" w:beforeAutospacing="0" w:after="0" w:line="240" w:lineRule="auto"/>
        <w:ind w:firstLine="3780"/>
        <w:jc w:val="both"/>
      </w:pPr>
      <w:r w:rsidRPr="00CC6E07">
        <w:t>A</w:t>
      </w:r>
      <w:r w:rsidRPr="00CC6E07">
        <w:rPr>
          <w:b/>
        </w:rPr>
        <w:t xml:space="preserve"> Câmara Municipal de Mogi Mirim </w:t>
      </w:r>
      <w:r w:rsidR="00274755">
        <w:t>aprova:</w:t>
      </w:r>
    </w:p>
    <w:p w:rsidR="00274755" w:rsidRPr="00CC6E07" w:rsidRDefault="00274755" w:rsidP="00CC6E07">
      <w:pPr>
        <w:pStyle w:val="NormalWeb"/>
        <w:spacing w:before="0" w:beforeAutospacing="0" w:after="0" w:line="240" w:lineRule="auto"/>
        <w:ind w:firstLine="3780"/>
        <w:jc w:val="both"/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Art. 1º O orçamento geral do Município de Mogi Mirim, para o exercício financeiro de 2023, abrangendo o Orçamento Fiscal e da Seguridade Social, Estima a Receita e Fixa a Despesa em R$ 628.203.360,00 (seiscentos e vinte e oito milhões, duzentos e três mil e trezentos e sessenta reais), assim distribuídos: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3E6AE2">
      <w:pPr>
        <w:shd w:val="clear" w:color="auto" w:fill="FFFFFF"/>
        <w:ind w:right="-188" w:firstLine="3828"/>
        <w:jc w:val="both"/>
        <w:rPr>
          <w:rFonts w:ascii="Times New Roman" w:hAnsi="Times New Roman" w:cs="Times New Roman"/>
          <w:color w:val="222222"/>
          <w:sz w:val="24"/>
          <w:szCs w:val="24"/>
          <w:lang w:eastAsia="pt-BR"/>
        </w:rPr>
      </w:pPr>
      <w:r w:rsidRPr="00CC6E07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 xml:space="preserve">I – Orçamento Fiscal </w:t>
      </w:r>
      <w:bookmarkStart w:id="0" w:name="_GoBack"/>
      <w:bookmarkEnd w:id="0"/>
      <w:r w:rsidR="009C2701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–</w:t>
      </w:r>
      <w:r w:rsidRPr="00CC6E07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 </w:t>
      </w:r>
      <w:r w:rsidRPr="00CC6E07">
        <w:rPr>
          <w:rFonts w:ascii="Times New Roman" w:hAnsi="Times New Roman" w:cs="Times New Roman"/>
          <w:b/>
          <w:bCs/>
          <w:color w:val="222222"/>
          <w:sz w:val="24"/>
          <w:szCs w:val="24"/>
          <w:lang w:eastAsia="pt-BR"/>
        </w:rPr>
        <w:t>R$ </w:t>
      </w:r>
      <w:r w:rsidR="009C270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458.</w:t>
      </w:r>
      <w:r w:rsidR="009C2701" w:rsidRPr="009C2701">
        <w:rPr>
          <w:rFonts w:ascii="Times New Roman" w:hAnsi="Times New Roman" w:cs="Times New Roman"/>
          <w:b/>
          <w:color w:val="222222"/>
          <w:sz w:val="24"/>
          <w:szCs w:val="24"/>
          <w:lang w:eastAsia="pt-BR"/>
        </w:rPr>
        <w:t>104.114,80</w:t>
      </w:r>
      <w:r w:rsidR="003E6AE2">
        <w:rPr>
          <w:rFonts w:ascii="Times New Roman" w:hAnsi="Times New Roman" w:cs="Times New Roman"/>
          <w:b/>
          <w:color w:val="222222"/>
          <w:sz w:val="24"/>
          <w:szCs w:val="24"/>
          <w:lang w:eastAsia="pt-BR"/>
        </w:rPr>
        <w:t xml:space="preserve"> </w:t>
      </w:r>
      <w:r w:rsidRPr="00CC6E07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(quatrocen</w:t>
      </w:r>
      <w:r w:rsidR="003E6AE2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 xml:space="preserve">tos e cinquenta e oito milhões, cento e quatro mil, </w:t>
      </w:r>
      <w:r w:rsidR="009C2701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cento e quatorze reais e oitenta centavos</w:t>
      </w:r>
      <w:r w:rsidRPr="00CC6E07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);</w:t>
      </w:r>
    </w:p>
    <w:p w:rsidR="00CC6E07" w:rsidRPr="00CC6E07" w:rsidRDefault="001B30D2" w:rsidP="00CC6E07">
      <w:pPr>
        <w:shd w:val="clear" w:color="auto" w:fill="FFFFFF"/>
        <w:ind w:firstLine="3828"/>
        <w:jc w:val="both"/>
        <w:rPr>
          <w:rFonts w:ascii="Times New Roman" w:hAnsi="Times New Roman" w:cs="Times New Roman"/>
          <w:color w:val="222222"/>
          <w:sz w:val="24"/>
          <w:szCs w:val="24"/>
          <w:lang w:eastAsia="pt-BR"/>
        </w:rPr>
      </w:pPr>
      <w:r w:rsidRPr="00CC6E07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CC6E07" w:rsidRPr="00CC6E07" w:rsidRDefault="001B30D2" w:rsidP="00CC6E07">
      <w:pPr>
        <w:shd w:val="clear" w:color="auto" w:fill="FFFFFF"/>
        <w:ind w:firstLine="3828"/>
        <w:jc w:val="both"/>
        <w:rPr>
          <w:rFonts w:ascii="Times New Roman" w:hAnsi="Times New Roman" w:cs="Times New Roman"/>
          <w:color w:val="222222"/>
          <w:sz w:val="24"/>
          <w:szCs w:val="24"/>
          <w:lang w:eastAsia="pt-BR"/>
        </w:rPr>
      </w:pPr>
      <w:r w:rsidRPr="00CC6E07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II – Orçamento Seguridade Social - </w:t>
      </w:r>
      <w:r w:rsidRPr="00CC6E07">
        <w:rPr>
          <w:rFonts w:ascii="Times New Roman" w:hAnsi="Times New Roman" w:cs="Times New Roman"/>
          <w:b/>
          <w:bCs/>
          <w:color w:val="222222"/>
          <w:sz w:val="24"/>
          <w:szCs w:val="24"/>
          <w:lang w:eastAsia="pt-BR"/>
        </w:rPr>
        <w:t>R$ </w:t>
      </w:r>
      <w:r w:rsidR="009C270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170.099.245,20</w:t>
      </w:r>
      <w:r w:rsidRPr="00CC6E07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 (cento e</w:t>
      </w:r>
      <w:r w:rsidR="009C2701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 xml:space="preserve"> setenta milhões, noventa e nove mil, duzentos e quarenta e cinco reais e vinte centavos</w:t>
      </w:r>
      <w:r w:rsidRPr="00CC6E07">
        <w:rPr>
          <w:rFonts w:ascii="Times New Roman" w:hAnsi="Times New Roman" w:cs="Times New Roman"/>
          <w:color w:val="222222"/>
          <w:sz w:val="24"/>
          <w:szCs w:val="24"/>
          <w:lang w:eastAsia="pt-BR"/>
        </w:rPr>
        <w:t>).</w:t>
      </w:r>
    </w:p>
    <w:p w:rsidR="00CC6E07" w:rsidRPr="00CC6E07" w:rsidRDefault="00CC6E07" w:rsidP="00CC6E07">
      <w:pPr>
        <w:jc w:val="both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</w:p>
    <w:p w:rsidR="00CC6E07" w:rsidRDefault="001B30D2" w:rsidP="00CC6E07">
      <w:pPr>
        <w:tabs>
          <w:tab w:val="left" w:pos="-2977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Art. 2º A receita será realizada mediante a arrecadação de tributos, transferências e outras rendas provenientes de receitas correntes e de capital, na forma da legislação em vigor e das especificações constantes do quadro “RECEITA”, obedecendo ao seguinte desdobramento:</w:t>
      </w:r>
    </w:p>
    <w:p w:rsidR="00274755" w:rsidRDefault="00274755" w:rsidP="00CC6E07">
      <w:pPr>
        <w:tabs>
          <w:tab w:val="left" w:pos="-2977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tabs>
          <w:tab w:val="left" w:pos="-2977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4"/>
        <w:gridCol w:w="2172"/>
      </w:tblGrid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bookmarkStart w:id="1" w:name="RANGE!B3%252525253AC29"/>
            <w:r w:rsidRPr="00CC6E07">
              <w:rPr>
                <w:rFonts w:ascii="Times New Roman" w:hAnsi="Times New Roman" w:cs="Times New Roman"/>
                <w:b/>
                <w:bCs/>
              </w:rPr>
              <w:t>I – ADMINISTRAÇÃO DIRETA</w:t>
            </w:r>
            <w:bookmarkEnd w:id="1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07" w:rsidRPr="00CC6E07" w:rsidRDefault="00CC6E0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:rsidR="000A03A9" w:rsidTr="00CC6E07">
        <w:trPr>
          <w:trHeight w:val="100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07" w:rsidRPr="00CC6E07" w:rsidRDefault="00CC6E07">
            <w:pPr>
              <w:suppressAutoHyphens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07" w:rsidRPr="00CC6E07" w:rsidRDefault="00CC6E0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</w:rPr>
              <w:t>1 – RECEITAS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07" w:rsidRPr="00CC6E07" w:rsidRDefault="00CC6E0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1.1 – Receita de Impostos, Taxas e Contribuições de Melhoria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158.830.554,00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1.2 – Receita de Contribuições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12.793.000,00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1.3 – Receita Patrimonial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4.980.000,00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1.6 – Receita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7.136.620,00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1.7 – Transferências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363.862.550,00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1.9 – Outras Receitas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11.250.236,00</w:t>
            </w:r>
          </w:p>
        </w:tc>
      </w:tr>
      <w:tr w:rsidR="000A03A9" w:rsidTr="00CC6E07">
        <w:trPr>
          <w:trHeight w:val="50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2 – RECEITAS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2.1 – Operações de Crédito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32.090.000,00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2.4 – Transferências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9.088.000,00</w:t>
            </w:r>
          </w:p>
        </w:tc>
      </w:tr>
      <w:tr w:rsidR="000A03A9" w:rsidTr="00CC6E07">
        <w:trPr>
          <w:trHeight w:val="57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</w:rPr>
              <w:t>9 – DEDUÇÕES DA RECEITA CORRENTE</w:t>
            </w:r>
            <w:r w:rsidRPr="00CC6E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snapToGrid w:val="0"/>
              <w:rPr>
                <w:rFonts w:ascii="Times New Roman" w:hAnsi="Times New Roman" w:cs="Times New Roman"/>
                <w:bCs/>
                <w:u w:val="single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9.7 – Dedução para Formação do FUNDEB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-48.768.200,00</w:t>
            </w:r>
          </w:p>
        </w:tc>
      </w:tr>
      <w:tr w:rsidR="000A03A9" w:rsidTr="00CC6E07">
        <w:trPr>
          <w:trHeight w:val="50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TOTAL ADMINISTRAÇÃO DIRETA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color w:val="000000"/>
              </w:rPr>
              <w:t>551.262.760,00</w:t>
            </w:r>
          </w:p>
        </w:tc>
      </w:tr>
    </w:tbl>
    <w:tbl>
      <w:tblPr>
        <w:tblpPr w:leftFromText="141" w:rightFromText="141" w:vertAnchor="text" w:horzAnchor="margin" w:tblpY="30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4"/>
        <w:gridCol w:w="2172"/>
      </w:tblGrid>
      <w:tr w:rsidR="000A03A9" w:rsidTr="00CC6E07">
        <w:trPr>
          <w:trHeight w:val="330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07" w:rsidRPr="00274755" w:rsidRDefault="00274755" w:rsidP="00CC6E0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747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II – ADMINISTRAÇÃO INDIRETA – SAAE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07" w:rsidRPr="00CC6E07" w:rsidRDefault="00CC6E07" w:rsidP="00CC6E07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1 –   RECEITAS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E07" w:rsidRPr="00CC6E07" w:rsidRDefault="00CC6E07" w:rsidP="00CC6E07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 xml:space="preserve">1.3 – Receita Patrimonial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2.282.100,00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1.6 – Receita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52.609.500,00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 xml:space="preserve">1.9 – Outras Receitas Correntes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7.346.000,00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2 – RECEITAS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 w:rsidP="00CC6E07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2.1 – Operações de Crédito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6.000.000,00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2.4 – Transferências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1.650.000,00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</w:rPr>
              <w:t>7 – RECEITAS CORRENTES INTRA-ORÇAMENTÁRIAS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7.6 – Receita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5.303.000,00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7.9. - OUTRAS RECEITAS CORRENTES - INTRA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1.750.000,00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 w:rsidP="00CC6E0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TOTAL ADMINISTRAÇÃO INDIRETA - SAAE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color w:val="000000"/>
              </w:rPr>
              <w:t>76.940.600,00</w:t>
            </w: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 w:rsidP="00CC6E0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 w:rsidP="00CC6E07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9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</w:rPr>
              <w:t>TOTAL GERAL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628.203.360,00</w:t>
            </w:r>
          </w:p>
        </w:tc>
      </w:tr>
    </w:tbl>
    <w:p w:rsidR="004F0784" w:rsidRPr="00CC6E07" w:rsidRDefault="001B30D2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C6E0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Art. 3º A despesa será realizada segundo a discriminação dos quadros “Programa de Trabalho” e “Natureza da Despesa”, que apresentam os seguintes desdobramentos:</w:t>
      </w:r>
    </w:p>
    <w:p w:rsidR="004F0784" w:rsidRPr="00CC6E07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I – DESPESAS DA ADMINISTRAÇÃO DIRETA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CC6E07">
            <w:pPr>
              <w:numPr>
                <w:ilvl w:val="0"/>
                <w:numId w:val="2"/>
              </w:numPr>
              <w:tabs>
                <w:tab w:val="clear" w:pos="0"/>
                <w:tab w:val="num" w:pos="459"/>
              </w:tabs>
              <w:suppressAutoHyphens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POR FUNÇÃO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01 - LEGISLATIVA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11.203.210,00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02 - JUDICIÁRIA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5.570.000,00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04 - ADMINISTRAÇÃO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8E40E7" w:rsidP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81.582.830,48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06 - SEGURANÇA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3.</w:t>
            </w:r>
            <w:r w:rsidR="008E40E7">
              <w:rPr>
                <w:rFonts w:ascii="Times New Roman" w:hAnsi="Times New Roman" w:cs="Times New Roman"/>
                <w:bCs/>
                <w:color w:val="000000"/>
              </w:rPr>
              <w:t>810.900,84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08 - ASSISTÊNCIA SOCIAL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18</w:t>
            </w:r>
            <w:r w:rsidR="008E40E7">
              <w:rPr>
                <w:rFonts w:ascii="Times New Roman" w:hAnsi="Times New Roman" w:cs="Times New Roman"/>
                <w:bCs/>
                <w:color w:val="000000"/>
              </w:rPr>
              <w:t>.775.943,6</w:t>
            </w:r>
            <w:r w:rsidRPr="00CC6E0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10 - SAÚDE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8E40E7" w:rsidP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151.249.301,60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12 - EDUCAÇÃO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130.727.596,76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13 - CULTURA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4.194.623,36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15 - URBANISMO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77.</w:t>
            </w:r>
            <w:r w:rsidR="008E40E7">
              <w:rPr>
                <w:rFonts w:ascii="Times New Roman" w:hAnsi="Times New Roman" w:cs="Times New Roman"/>
                <w:bCs/>
                <w:color w:val="000000"/>
              </w:rPr>
              <w:t>608.500,00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16 - HABITAÇÃO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5.301.000,00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18 - GESTÃO AMBIENTAL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 w:rsidP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4.</w:t>
            </w:r>
            <w:r w:rsidR="008E40E7">
              <w:rPr>
                <w:rFonts w:ascii="Times New Roman" w:hAnsi="Times New Roman" w:cs="Times New Roman"/>
                <w:bCs/>
                <w:color w:val="000000"/>
              </w:rPr>
              <w:t>486.000,00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20 - AGRICULTURA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4.359.000,00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23 – COMÉRCIO E SERVIÇOS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120.000,00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26 - TRANSPORTE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550.000,00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27 - DESPORTO E LAZER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8E40E7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6.073.853,36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28 - ENCARGOS ESPECIAIS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</w:rPr>
              <w:t>40.540.000,00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99 - RESERVA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  <w:color w:val="000000"/>
              </w:rPr>
              <w:t>5.110.000,00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color w:val="000000"/>
              </w:rPr>
              <w:t>551.262.760,00</w:t>
            </w:r>
          </w:p>
        </w:tc>
      </w:tr>
    </w:tbl>
    <w:p w:rsidR="00207677" w:rsidRDefault="00207677" w:rsidP="00CC6E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4755" w:rsidRDefault="00274755" w:rsidP="00CC6E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0A03A9" w:rsidTr="00CC6E07">
        <w:trPr>
          <w:trHeight w:val="2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II – DESPESAS DA ADMINISTRAÇÃO INDIRETA – SAAE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17 – Saneamento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74.667.100,00</w:t>
            </w:r>
          </w:p>
        </w:tc>
      </w:tr>
      <w:tr w:rsidR="000A03A9" w:rsidTr="00CC6E07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</w:rPr>
              <w:t>28 – Encargos Especiais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1.580.500,00</w:t>
            </w:r>
          </w:p>
        </w:tc>
      </w:tr>
      <w:tr w:rsidR="000A03A9" w:rsidTr="00CC6E07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</w:rPr>
              <w:t>99 – Reserva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693.000,00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color w:val="000000"/>
              </w:rPr>
              <w:t>76.940.600,00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TOTAL GERAL POR FUNÇÃO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  <w:color w:val="000000"/>
              </w:rPr>
              <w:t>628.203.360,00</w:t>
            </w:r>
          </w:p>
        </w:tc>
      </w:tr>
    </w:tbl>
    <w:p w:rsidR="00CC6E07" w:rsidRDefault="00CC6E07" w:rsidP="00CC6E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1B30D2" w:rsidP="00CC6E07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POR NATUREZA DA DESPESA</w:t>
            </w:r>
          </w:p>
          <w:p w:rsidR="00CC6E07" w:rsidRPr="00CC6E07" w:rsidRDefault="00CC6E07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</w:rPr>
              <w:t>I – ADMINISTRAÇÃO DIRETA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3.1 – Pessoal e Encargos Sociais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</w:rPr>
              <w:t>225.097.301,32</w:t>
            </w:r>
          </w:p>
        </w:tc>
      </w:tr>
      <w:tr w:rsidR="000A03A9" w:rsidTr="00CC6E07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</w:rPr>
              <w:t>3.2 – Juros e Encargos da Dívida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</w:rPr>
              <w:t>10.000.000,00</w:t>
            </w:r>
          </w:p>
        </w:tc>
      </w:tr>
      <w:tr w:rsidR="000A03A9" w:rsidTr="00CC6E07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</w:rPr>
              <w:t>3.3 – Outras Despesas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8E40E7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231.173.549,42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</w:rPr>
              <w:t>4.4 – Investimentos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8E40E7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56.451.909,26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4.6 – Amortização de Dívidas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</w:rPr>
              <w:t>23.430.000,00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9.9 – Reserva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</w:rPr>
              <w:t>5.110.000,00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color w:val="000000"/>
              </w:rPr>
              <w:t>551.262.760,00</w:t>
            </w:r>
          </w:p>
        </w:tc>
      </w:tr>
      <w:tr w:rsidR="000A03A9" w:rsidTr="00CC6E07">
        <w:trPr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</w:rPr>
              <w:t>II – ADMINISTRAÇÃO INDIRETA – SAAE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CC6E07" w:rsidRPr="00CC6E07" w:rsidRDefault="00CC6E0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3.1 – Pessoal e Encargos Sociais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</w:rPr>
              <w:t>17.509.000,00</w:t>
            </w:r>
          </w:p>
        </w:tc>
      </w:tr>
      <w:tr w:rsidR="000A03A9" w:rsidTr="00CC6E07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</w:rPr>
              <w:t>3.2 – Juros e Encargos da Dívida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</w:rPr>
              <w:t>80.000,00</w:t>
            </w:r>
          </w:p>
        </w:tc>
      </w:tr>
      <w:tr w:rsidR="000A03A9" w:rsidTr="00CC6E07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</w:rPr>
              <w:t>3.3 – Outras Despesas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</w:rPr>
              <w:t>47.756.900,00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Cs/>
              </w:rPr>
              <w:t>4.4 – Investimentos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  <w:lang w:eastAsia="pt-BR"/>
              </w:rPr>
              <w:t>10.794.200,00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4.6 – Amortização de Dívidas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  <w:lang w:eastAsia="pt-BR"/>
              </w:rPr>
              <w:t>107.500,00</w:t>
            </w:r>
          </w:p>
        </w:tc>
      </w:tr>
      <w:tr w:rsidR="000A03A9" w:rsidTr="00CC6E07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</w:rPr>
              <w:t>9.9 – Reserva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color w:val="000000"/>
                <w:lang w:eastAsia="pt-BR"/>
              </w:rPr>
              <w:t>693.000,00</w:t>
            </w:r>
          </w:p>
        </w:tc>
      </w:tr>
      <w:tr w:rsidR="000A03A9" w:rsidTr="00CC6E07">
        <w:trPr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  <w:i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color w:val="000000"/>
              </w:rPr>
              <w:t>76.940.600,00</w:t>
            </w:r>
          </w:p>
        </w:tc>
      </w:tr>
      <w:tr w:rsidR="000A03A9" w:rsidTr="00CC6E07">
        <w:trPr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07" w:rsidRPr="00CC6E07" w:rsidRDefault="00CC6E07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0A03A9" w:rsidTr="00CC6E07">
        <w:trPr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bCs/>
              </w:rPr>
              <w:t>TOTAL GERAL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07" w:rsidRPr="00CC6E07" w:rsidRDefault="001B30D2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C6E07">
              <w:rPr>
                <w:rFonts w:ascii="Times New Roman" w:hAnsi="Times New Roman" w:cs="Times New Roman"/>
                <w:b/>
                <w:color w:val="000000"/>
              </w:rPr>
              <w:t>628.203.360,00</w:t>
            </w:r>
          </w:p>
        </w:tc>
      </w:tr>
    </w:tbl>
    <w:p w:rsidR="00CC6E07" w:rsidRDefault="00CC6E07" w:rsidP="00CC6E07">
      <w:pPr>
        <w:ind w:firstLine="3544"/>
        <w:jc w:val="both"/>
        <w:rPr>
          <w:bCs/>
        </w:rPr>
      </w:pPr>
    </w:p>
    <w:p w:rsidR="00CC6E07" w:rsidRDefault="006E18B0" w:rsidP="00274755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B30D2" w:rsidRPr="00CC6E07">
        <w:rPr>
          <w:rFonts w:ascii="Times New Roman" w:hAnsi="Times New Roman" w:cs="Times New Roman"/>
          <w:bCs/>
          <w:sz w:val="24"/>
          <w:szCs w:val="24"/>
        </w:rPr>
        <w:t>Art. 4</w:t>
      </w:r>
      <w:r w:rsidR="001B30D2" w:rsidRPr="00CC6E0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="001B30D2" w:rsidRPr="00CC6E07">
        <w:rPr>
          <w:rFonts w:ascii="Times New Roman" w:hAnsi="Times New Roman" w:cs="Times New Roman"/>
          <w:sz w:val="24"/>
          <w:szCs w:val="24"/>
        </w:rPr>
        <w:t xml:space="preserve">Fica o Poder Executivo autorizado nos termos da Constituição Federal; da Lei Complementar nº 101, de 04 de maio de 2000, e da Lei de Diretrizes Orçamentárias </w:t>
      </w:r>
      <w:bookmarkStart w:id="2" w:name="_Hlk115162310"/>
      <w:r w:rsidR="001B30D2" w:rsidRPr="00CC6E07">
        <w:rPr>
          <w:rFonts w:ascii="Times New Roman" w:hAnsi="Times New Roman" w:cs="Times New Roman"/>
          <w:sz w:val="24"/>
          <w:szCs w:val="24"/>
        </w:rPr>
        <w:t xml:space="preserve">– L.D.O. </w:t>
      </w:r>
      <w:r w:rsidR="001B30D2" w:rsidRPr="00CC6E0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nº 6.489 de 14 de julho de 2022 em seu artigo 20, incisos e parágrafos e alíneas </w:t>
      </w:r>
      <w:bookmarkEnd w:id="2"/>
      <w:r w:rsidR="001B30D2" w:rsidRPr="00CC6E07">
        <w:rPr>
          <w:rFonts w:ascii="Times New Roman" w:hAnsi="Times New Roman" w:cs="Times New Roman"/>
          <w:sz w:val="24"/>
          <w:szCs w:val="24"/>
        </w:rPr>
        <w:t>a:</w:t>
      </w: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I - abrir, durante o exercício, créditos adicionais suplementares até o limite de 20% (vinte por cento) do total do orçamento da despesa, nos termos da legislação vigente;</w:t>
      </w: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II - abrir créditos adicionais suplementares até o limite da dotação consignada como reserva de contingência.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274755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Default="00274755" w:rsidP="00274755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B30D2" w:rsidRPr="00CC6E07">
        <w:rPr>
          <w:rFonts w:ascii="Times New Roman" w:hAnsi="Times New Roman" w:cs="Times New Roman"/>
          <w:sz w:val="24"/>
          <w:szCs w:val="24"/>
        </w:rPr>
        <w:t xml:space="preserve">§ 1º Não onerarão o limite previsto no inciso I, deste artigo, os créditos: </w:t>
      </w:r>
    </w:p>
    <w:p w:rsidR="00274755" w:rsidRPr="00CC6E07" w:rsidRDefault="00274755" w:rsidP="00274755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a) destinados a suprir insuficiência nas dotações orçamentárias relativas a pessoal e encargos sociais, inativos e pensionistas, PASEP, auxílio-alimentação e vale transporte aos servidores, débitos constantes de precatórios judiciais, serviços da dívida pública e acordos de outras dívidas, despesas de exercícios anteriores, despesas à conta de recursos vinculados e fundos municipais;</w:t>
      </w: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ab/>
      </w:r>
      <w:r w:rsidRPr="00CC6E07">
        <w:rPr>
          <w:rFonts w:ascii="Times New Roman" w:hAnsi="Times New Roman" w:cs="Times New Roman"/>
          <w:sz w:val="24"/>
          <w:szCs w:val="24"/>
        </w:rPr>
        <w:tab/>
      </w:r>
      <w:r w:rsidRPr="00CC6E07">
        <w:rPr>
          <w:rFonts w:ascii="Times New Roman" w:hAnsi="Times New Roman" w:cs="Times New Roman"/>
          <w:sz w:val="24"/>
          <w:szCs w:val="24"/>
        </w:rPr>
        <w:tab/>
      </w:r>
    </w:p>
    <w:p w:rsidR="00CC6E07" w:rsidRPr="00CC6E07" w:rsidRDefault="001C272B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B30D2" w:rsidRPr="00CC6E07">
        <w:rPr>
          <w:rFonts w:ascii="Times New Roman" w:hAnsi="Times New Roman" w:cs="Times New Roman"/>
          <w:sz w:val="24"/>
          <w:szCs w:val="24"/>
        </w:rPr>
        <w:t xml:space="preserve"> abertos mediante a utilização de recursos da forma prevista nos incisos I e IV do § 1º do art. 43 da Lei Federal nº 4.320, de 1964.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 xml:space="preserve">§ 2º Observado o limite a que se refere o inciso I do </w:t>
      </w:r>
      <w:r w:rsidRPr="001C272B">
        <w:rPr>
          <w:rFonts w:ascii="Times New Roman" w:hAnsi="Times New Roman" w:cs="Times New Roman"/>
          <w:i/>
          <w:sz w:val="24"/>
          <w:szCs w:val="24"/>
        </w:rPr>
        <w:t>caput</w:t>
      </w:r>
      <w:r w:rsidR="001C272B">
        <w:rPr>
          <w:rFonts w:ascii="Times New Roman" w:hAnsi="Times New Roman" w:cs="Times New Roman"/>
          <w:sz w:val="24"/>
          <w:szCs w:val="24"/>
        </w:rPr>
        <w:t xml:space="preserve"> deste artigo, fica o Poder E</w:t>
      </w:r>
      <w:r w:rsidRPr="00CC6E07">
        <w:rPr>
          <w:rFonts w:ascii="Times New Roman" w:hAnsi="Times New Roman" w:cs="Times New Roman"/>
          <w:sz w:val="24"/>
          <w:szCs w:val="24"/>
        </w:rPr>
        <w:t>xecutivo autorizado a transpor, remanejar ou transferir recursos, conforme inciso VI do art. 167 da Constituição Federal, em decorrência de atos relacionados à organização e funcionamento da administração municipal, conforme o disposto na alínea “a” do inciso VI do art. 84 da Constituição Federal e na alínea “a” do inciso XIX do art. 47 da Constituição do Estado de São Paulo.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III - realizar operações de crédito por antecipação da receita orçamentária, obedecida à legislação em vigor;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IV - contingenciar parte das dotações orçamentárias, quando a evolução da receita comprometer os resultados previstos;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CC6E07">
        <w:rPr>
          <w:rFonts w:ascii="Times New Roman" w:hAnsi="Times New Roman" w:cs="Times New Roman"/>
          <w:sz w:val="24"/>
          <w:szCs w:val="24"/>
        </w:rPr>
        <w:t>conceder</w:t>
      </w:r>
      <w:proofErr w:type="gramEnd"/>
      <w:r w:rsidRPr="00CC6E07">
        <w:rPr>
          <w:rFonts w:ascii="Times New Roman" w:hAnsi="Times New Roman" w:cs="Times New Roman"/>
          <w:sz w:val="24"/>
          <w:szCs w:val="24"/>
        </w:rPr>
        <w:t xml:space="preserve"> </w:t>
      </w:r>
      <w:r w:rsidRPr="00CC6E07">
        <w:rPr>
          <w:rFonts w:ascii="Times New Roman" w:hAnsi="Times New Roman" w:cs="Times New Roman"/>
          <w:bCs/>
          <w:sz w:val="24"/>
          <w:szCs w:val="24"/>
        </w:rPr>
        <w:t xml:space="preserve">a órgãos federais, estaduais e municipais, de acordo com as disponibilidades financeiras, recursos para despesas de seus custeios, inclusive cessão de servidores, nos </w:t>
      </w:r>
      <w:r w:rsidR="001C272B">
        <w:rPr>
          <w:rFonts w:ascii="Times New Roman" w:hAnsi="Times New Roman" w:cs="Times New Roman"/>
          <w:bCs/>
          <w:sz w:val="24"/>
          <w:szCs w:val="24"/>
        </w:rPr>
        <w:t>termos do art.</w:t>
      </w:r>
      <w:r w:rsidRPr="00CC6E07">
        <w:rPr>
          <w:rFonts w:ascii="Times New Roman" w:hAnsi="Times New Roman" w:cs="Times New Roman"/>
          <w:bCs/>
          <w:sz w:val="24"/>
          <w:szCs w:val="24"/>
        </w:rPr>
        <w:t xml:space="preserve"> 62 da Lei Complementar nº. 101, de 04 de maio de 2000 (Lei de Responsabilidade Fiscal);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Default="001B30D2" w:rsidP="00CC6E0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CC6E07">
        <w:rPr>
          <w:rFonts w:ascii="Times New Roman" w:hAnsi="Times New Roman" w:cs="Times New Roman"/>
          <w:bCs/>
          <w:sz w:val="24"/>
          <w:szCs w:val="24"/>
        </w:rPr>
        <w:t>firmar</w:t>
      </w:r>
      <w:proofErr w:type="gramEnd"/>
      <w:r w:rsidRPr="00CC6E07">
        <w:rPr>
          <w:rFonts w:ascii="Times New Roman" w:hAnsi="Times New Roman" w:cs="Times New Roman"/>
          <w:bCs/>
          <w:sz w:val="24"/>
          <w:szCs w:val="24"/>
        </w:rPr>
        <w:t xml:space="preserve"> parceria, convênio ou contrato de gestão, com entidades filantrópicas ou pessoas jurídicas de direito privado, visando fomentar atividades relacionadas às áreas de ensino, pesquisa científica, desenvolvimento tecnológico, proteção e preservação do meio ambiente, cultura, esportes, sa</w:t>
      </w:r>
      <w:r w:rsidR="001C272B">
        <w:rPr>
          <w:rFonts w:ascii="Times New Roman" w:hAnsi="Times New Roman" w:cs="Times New Roman"/>
          <w:bCs/>
          <w:sz w:val="24"/>
          <w:szCs w:val="24"/>
        </w:rPr>
        <w:t>úde e assistência social (art.</w:t>
      </w:r>
      <w:r w:rsidRPr="00CC6E07">
        <w:rPr>
          <w:rFonts w:ascii="Times New Roman" w:hAnsi="Times New Roman" w:cs="Times New Roman"/>
          <w:bCs/>
          <w:sz w:val="24"/>
          <w:szCs w:val="24"/>
        </w:rPr>
        <w:t xml:space="preserve"> 199, § 1º. da C.F.);</w:t>
      </w: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VII -</w:t>
      </w:r>
      <w:r w:rsidRPr="00CC6E07">
        <w:rPr>
          <w:rFonts w:ascii="Times New Roman" w:hAnsi="Times New Roman" w:cs="Times New Roman"/>
          <w:bCs/>
          <w:sz w:val="24"/>
          <w:szCs w:val="24"/>
        </w:rPr>
        <w:t xml:space="preserve"> efetuar o desdobramento de dotações orçamentárias, de modo a criar nova fonte de recurso.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Art. 5º Ficam contingenciadas, a partir de 1º de janeiro de 2023, as dotações orçamentárias referentes aos convênios e operações de créditos previstos, até a data de sua contratação.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74755" w:rsidRDefault="00274755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 xml:space="preserve">Art. 6º Fica o Poder Executivo autorizado a realizar as adequações da nova codificação das receitas, nos termos da Portaria Conjunta STN/SOF nº 650 da Secretaria do Tesouro Nacional e da Secretaria do Orçamento Federal com as novas portarias </w:t>
      </w:r>
      <w:r w:rsidRPr="00CC6E07">
        <w:rPr>
          <w:rFonts w:ascii="Times New Roman" w:hAnsi="Times New Roman" w:cs="Times New Roman"/>
          <w:color w:val="000000"/>
          <w:sz w:val="24"/>
          <w:szCs w:val="24"/>
        </w:rPr>
        <w:t>STN nº 1.566, 1.567 e 1.568, que estabelece novos ajustes</w:t>
      </w:r>
      <w:r w:rsidRPr="00CC6E07">
        <w:rPr>
          <w:rFonts w:ascii="Times New Roman" w:hAnsi="Times New Roman" w:cs="Times New Roman"/>
          <w:sz w:val="24"/>
          <w:szCs w:val="24"/>
        </w:rPr>
        <w:t>, até a abertura do orçamento em 2023.</w:t>
      </w:r>
    </w:p>
    <w:p w:rsidR="00CC6E07" w:rsidRPr="00CC6E07" w:rsidRDefault="00CC6E07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6E07" w:rsidRPr="00CC6E07" w:rsidRDefault="001B30D2" w:rsidP="00103D7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 xml:space="preserve">Parágrafo único. A atualização de que trata o </w:t>
      </w:r>
      <w:r w:rsidRPr="00CC6E07">
        <w:rPr>
          <w:rFonts w:ascii="Times New Roman" w:hAnsi="Times New Roman" w:cs="Times New Roman"/>
          <w:i/>
          <w:sz w:val="24"/>
          <w:szCs w:val="24"/>
        </w:rPr>
        <w:t>caput</w:t>
      </w:r>
      <w:r w:rsidRPr="00CC6E07">
        <w:rPr>
          <w:rFonts w:ascii="Times New Roman" w:hAnsi="Times New Roman" w:cs="Times New Roman"/>
          <w:sz w:val="24"/>
          <w:szCs w:val="24"/>
        </w:rPr>
        <w:t xml:space="preserve"> é restrita a codificação e nomenclatura, mantendo os valores das receitas estabelecidos no ANEXO II - Resumo Geral das Receitas.</w:t>
      </w:r>
    </w:p>
    <w:p w:rsidR="00CC6E07" w:rsidRPr="00CC6E07" w:rsidRDefault="00CC6E07" w:rsidP="00CC6E07">
      <w:pPr>
        <w:pStyle w:val="Corpodetexto"/>
        <w:ind w:firstLine="3828"/>
        <w:rPr>
          <w:sz w:val="24"/>
        </w:rPr>
      </w:pPr>
    </w:p>
    <w:p w:rsidR="00CC6E07" w:rsidRPr="00CC6E07" w:rsidRDefault="001B30D2" w:rsidP="00CC6E07">
      <w:pPr>
        <w:pStyle w:val="Corpodetexto"/>
        <w:ind w:firstLine="3828"/>
        <w:rPr>
          <w:sz w:val="24"/>
        </w:rPr>
      </w:pPr>
      <w:r w:rsidRPr="00CC6E07">
        <w:rPr>
          <w:sz w:val="24"/>
        </w:rPr>
        <w:t xml:space="preserve">Art. 7º Nos termos da Emenda à Lei Orgânica nº 07, de 10 de setembro de 2019, de autoria da Câmara Municipal de Mogi Mirim, fica incluído a presente Lei Orçamentária a reserva de R$ </w:t>
      </w:r>
      <w:r w:rsidRPr="00CC6E07">
        <w:rPr>
          <w:color w:val="000000"/>
          <w:sz w:val="24"/>
          <w:lang w:eastAsia="pt-BR"/>
        </w:rPr>
        <w:t>5.763.034,56 (cinco milhões, setecentos e sessenta e três mil, trinta e quatro reais e cinquenta e seis centavos)</w:t>
      </w:r>
      <w:r w:rsidRPr="00CC6E07">
        <w:rPr>
          <w:sz w:val="24"/>
        </w:rPr>
        <w:t xml:space="preserve"> para Orçamento Impositivo de Execução Obrigatória pelo Poder Executivo, sendo vedadas alterações nas emendas após a aprovação da presente Lei.</w:t>
      </w:r>
    </w:p>
    <w:p w:rsidR="00CC6E07" w:rsidRPr="00CC6E07" w:rsidRDefault="00CC6E07" w:rsidP="00CC6E07">
      <w:pPr>
        <w:pStyle w:val="Corpodetexto"/>
        <w:ind w:firstLine="3828"/>
        <w:rPr>
          <w:sz w:val="24"/>
        </w:rPr>
      </w:pPr>
    </w:p>
    <w:p w:rsidR="00CC6E07" w:rsidRPr="00CC6E07" w:rsidRDefault="001B30D2" w:rsidP="00CC6E07">
      <w:pPr>
        <w:pStyle w:val="Corpodetexto"/>
        <w:ind w:firstLine="3828"/>
        <w:rPr>
          <w:sz w:val="24"/>
        </w:rPr>
      </w:pPr>
      <w:r w:rsidRPr="00CC6E07">
        <w:rPr>
          <w:sz w:val="24"/>
        </w:rPr>
        <w:t>Parágrafo único. O Vereador</w:t>
      </w:r>
      <w:r w:rsidR="001C272B">
        <w:rPr>
          <w:sz w:val="24"/>
        </w:rPr>
        <w:t xml:space="preserve"> proponente encaminhará, por ofí</w:t>
      </w:r>
      <w:r w:rsidRPr="00CC6E07">
        <w:rPr>
          <w:sz w:val="24"/>
        </w:rPr>
        <w:t>cio dirigido ao Secretário de Finanças, até o dia 31 de março de 2023, a indicação, a confirmação ou alteração do objeto da emenda impositiva.</w:t>
      </w:r>
    </w:p>
    <w:p w:rsidR="00CC6E07" w:rsidRPr="00CC6E07" w:rsidRDefault="00CC6E07" w:rsidP="00CC6E07">
      <w:pPr>
        <w:pStyle w:val="Corpodetexto"/>
        <w:ind w:firstLine="3828"/>
        <w:rPr>
          <w:sz w:val="24"/>
        </w:rPr>
      </w:pPr>
    </w:p>
    <w:p w:rsidR="00CC6E07" w:rsidRPr="00CC6E07" w:rsidRDefault="001B30D2" w:rsidP="00CC6E0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CC6E07">
        <w:rPr>
          <w:rFonts w:ascii="Times New Roman" w:hAnsi="Times New Roman" w:cs="Times New Roman"/>
          <w:sz w:val="24"/>
          <w:szCs w:val="24"/>
        </w:rPr>
        <w:t>Art. 8</w:t>
      </w:r>
      <w:r w:rsidRPr="00CC6E0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C6E07">
        <w:rPr>
          <w:rFonts w:ascii="Times New Roman" w:hAnsi="Times New Roman" w:cs="Times New Roman"/>
          <w:sz w:val="24"/>
          <w:szCs w:val="24"/>
        </w:rPr>
        <w:t xml:space="preserve"> Esta Lei entra em vigor em 1º de janeiro de 2023.</w:t>
      </w:r>
    </w:p>
    <w:p w:rsidR="00CC6E07" w:rsidRPr="00CC6E07" w:rsidRDefault="00CC6E07" w:rsidP="00CC6E0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74755" w:rsidRPr="00B403C9" w:rsidRDefault="00274755"/>
    <w:p w:rsidR="00274755" w:rsidRP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4755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E90B9A">
        <w:rPr>
          <w:rFonts w:ascii="Times New Roman" w:hAnsi="Times New Roman" w:cs="Times New Roman"/>
          <w:sz w:val="24"/>
          <w:szCs w:val="24"/>
        </w:rPr>
        <w:t xml:space="preserve">29 de novembro de 2022. </w:t>
      </w:r>
    </w:p>
    <w:p w:rsidR="00274755" w:rsidRPr="00274755" w:rsidRDefault="0027475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156 de 2022.</w:t>
      </w: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274755" w:rsidRPr="00274755" w:rsidRDefault="0027475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475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74755" w:rsidRPr="00274755" w:rsidRDefault="0027475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C6E07" w:rsidRPr="00274755" w:rsidRDefault="001B30D2" w:rsidP="00CC6E07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274755">
        <w:rPr>
          <w:rFonts w:ascii="Times New Roman" w:eastAsia="MS Mincho" w:hAnsi="Times New Roman" w:cs="Times New Roman"/>
          <w:b/>
          <w:sz w:val="24"/>
          <w:szCs w:val="24"/>
        </w:rPr>
        <w:t>Projeto de Lei nº 146 de 2022.</w:t>
      </w:r>
    </w:p>
    <w:p w:rsidR="00CC6E07" w:rsidRPr="00274755" w:rsidRDefault="001B30D2" w:rsidP="00CC6E07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4755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CC6E07" w:rsidRPr="00274755" w:rsidSect="00274755">
      <w:headerReference w:type="default" r:id="rId7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04C" w:rsidRDefault="0051004C">
      <w:r>
        <w:separator/>
      </w:r>
    </w:p>
  </w:endnote>
  <w:endnote w:type="continuationSeparator" w:id="0">
    <w:p w:rsidR="0051004C" w:rsidRDefault="0051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04C" w:rsidRDefault="0051004C">
      <w:r>
        <w:separator/>
      </w:r>
    </w:p>
  </w:footnote>
  <w:footnote w:type="continuationSeparator" w:id="0">
    <w:p w:rsidR="0051004C" w:rsidRDefault="0051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B30D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1" name="Imagem 1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248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7475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</w:t>
    </w:r>
    <w:r w:rsidR="001B30D2">
      <w:rPr>
        <w:rFonts w:ascii="Arial" w:hAnsi="Arial"/>
        <w:b/>
        <w:sz w:val="34"/>
      </w:rPr>
      <w:t>A MUNICIPAL DE MOGI MIRIM</w:t>
    </w:r>
  </w:p>
  <w:p w:rsidR="004F0784" w:rsidRDefault="001B30D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0862"/>
    <w:rsid w:val="000666A3"/>
    <w:rsid w:val="000A03A9"/>
    <w:rsid w:val="00103D76"/>
    <w:rsid w:val="001915A3"/>
    <w:rsid w:val="00193A1F"/>
    <w:rsid w:val="001B30D2"/>
    <w:rsid w:val="001C272B"/>
    <w:rsid w:val="00207677"/>
    <w:rsid w:val="00214442"/>
    <w:rsid w:val="00217F62"/>
    <w:rsid w:val="00267901"/>
    <w:rsid w:val="00274755"/>
    <w:rsid w:val="00330221"/>
    <w:rsid w:val="003E6AE2"/>
    <w:rsid w:val="004F0784"/>
    <w:rsid w:val="004F1341"/>
    <w:rsid w:val="0051004C"/>
    <w:rsid w:val="00520F7E"/>
    <w:rsid w:val="005755DE"/>
    <w:rsid w:val="00594412"/>
    <w:rsid w:val="006540E5"/>
    <w:rsid w:val="00697F7F"/>
    <w:rsid w:val="006E18B0"/>
    <w:rsid w:val="007804DB"/>
    <w:rsid w:val="00894B3F"/>
    <w:rsid w:val="008E40E7"/>
    <w:rsid w:val="009B6380"/>
    <w:rsid w:val="009C2701"/>
    <w:rsid w:val="009D08D3"/>
    <w:rsid w:val="00A5188F"/>
    <w:rsid w:val="00A5794C"/>
    <w:rsid w:val="00A906D8"/>
    <w:rsid w:val="00AB5A74"/>
    <w:rsid w:val="00C32D95"/>
    <w:rsid w:val="00CC6E07"/>
    <w:rsid w:val="00E90B9A"/>
    <w:rsid w:val="00F01731"/>
    <w:rsid w:val="00F071AE"/>
    <w:rsid w:val="00FB2935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A786"/>
  <w15:docId w15:val="{FD8D95F9-2165-4D14-84CC-41000747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C6E0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C6E07"/>
    <w:pPr>
      <w:suppressAutoHyphens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CC6E07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rpodetexto22">
    <w:name w:val="Corpo de texto 22"/>
    <w:basedOn w:val="Normal"/>
    <w:rsid w:val="00CC6E07"/>
    <w:pPr>
      <w:tabs>
        <w:tab w:val="left" w:pos="2835"/>
      </w:tabs>
      <w:suppressAutoHyphens/>
      <w:spacing w:after="200" w:line="276" w:lineRule="auto"/>
      <w:jc w:val="both"/>
    </w:pPr>
    <w:rPr>
      <w:rFonts w:ascii="Bookman Old Style" w:eastAsia="Times New Roman" w:hAnsi="Bookman Old Style" w:cs="Bookman Old Style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1324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18</cp:revision>
  <dcterms:created xsi:type="dcterms:W3CDTF">2018-10-15T14:27:00Z</dcterms:created>
  <dcterms:modified xsi:type="dcterms:W3CDTF">2022-12-01T16:28:00Z</dcterms:modified>
</cp:coreProperties>
</file>