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2C" w:rsidRDefault="00237F2C">
      <w:pPr>
        <w:jc w:val="center"/>
        <w:rPr>
          <w:rFonts w:ascii="Calibri" w:hAnsi="Calibri"/>
          <w:sz w:val="26"/>
          <w:szCs w:val="26"/>
        </w:rPr>
      </w:pPr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 RELATÓRIO</w:t>
      </w:r>
    </w:p>
    <w:p w:rsidR="00237F2C" w:rsidRDefault="00785DB4">
      <w:pPr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>Projeto de Lei n</w:t>
      </w:r>
      <w:r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>º 134/2022</w:t>
      </w:r>
    </w:p>
    <w:p w:rsidR="00237F2C" w:rsidRDefault="00237F2C">
      <w:pPr>
        <w:pStyle w:val="Corpodetexto"/>
        <w:spacing w:after="0" w:line="240" w:lineRule="auto"/>
        <w:contextualSpacing/>
        <w:rPr>
          <w:rFonts w:ascii="Calibri" w:hAnsi="Calibri"/>
          <w:b/>
          <w:color w:val="000000"/>
          <w:sz w:val="26"/>
          <w:szCs w:val="26"/>
        </w:rPr>
      </w:pPr>
    </w:p>
    <w:p w:rsidR="00237F2C" w:rsidRDefault="00785DB4">
      <w:pPr>
        <w:pStyle w:val="Corpodetexto"/>
        <w:spacing w:after="0" w:line="240" w:lineRule="auto"/>
        <w:contextualSpacing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Processo nº 201/2022</w:t>
      </w:r>
    </w:p>
    <w:p w:rsidR="00237F2C" w:rsidRPr="008549AE" w:rsidRDefault="00785DB4">
      <w:pPr>
        <w:pStyle w:val="Corpodetexto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Conforme determina o artigo 35 da Resolução 276 de 09 de novembro de 2010 – Regimento Interno da Câmara Municipal</w:t>
      </w:r>
      <w:r w:rsidR="008549AE">
        <w:rPr>
          <w:rFonts w:ascii="Calibri" w:hAnsi="Calibri"/>
          <w:color w:val="000000"/>
          <w:sz w:val="26"/>
          <w:szCs w:val="26"/>
        </w:rPr>
        <w:t xml:space="preserve"> -</w:t>
      </w:r>
      <w:r>
        <w:rPr>
          <w:rFonts w:ascii="Calibri" w:hAnsi="Calibri"/>
          <w:color w:val="000000"/>
          <w:sz w:val="26"/>
          <w:szCs w:val="26"/>
        </w:rPr>
        <w:t>, a Comissão Permanente de Justiça e Redação emite o presente Relatório acerca</w:t>
      </w:r>
      <w:r>
        <w:rPr>
          <w:rFonts w:ascii="Calibri" w:hAnsi="Calibri"/>
          <w:color w:val="000000"/>
          <w:sz w:val="26"/>
          <w:szCs w:val="26"/>
        </w:rPr>
        <w:t xml:space="preserve"> do Projeto de Lei nº 134/2022, de autoria do Exmo. Vereador Sr. Tiago César Costa, sob relatoria da </w:t>
      </w:r>
      <w:r w:rsidRPr="008549AE">
        <w:rPr>
          <w:rFonts w:ascii="Calibri" w:hAnsi="Calibri"/>
          <w:b/>
          <w:color w:val="000000"/>
          <w:sz w:val="26"/>
          <w:szCs w:val="26"/>
        </w:rPr>
        <w:t xml:space="preserve">Vereadora Mara Cristina </w:t>
      </w:r>
      <w:proofErr w:type="spellStart"/>
      <w:r w:rsidRPr="008549AE">
        <w:rPr>
          <w:rFonts w:ascii="Calibri" w:hAnsi="Calibri"/>
          <w:b/>
          <w:color w:val="000000"/>
          <w:sz w:val="26"/>
          <w:szCs w:val="26"/>
        </w:rPr>
        <w:t>Choquetta</w:t>
      </w:r>
      <w:proofErr w:type="spellEnd"/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I. Exposição da Matéria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O Excelentíssimo Senhor Vereador Dr. Tiago César Costa protocolou nesta Casa de Leis o Projeto d</w:t>
      </w:r>
      <w:r>
        <w:rPr>
          <w:rFonts w:ascii="Calibri" w:hAnsi="Calibri"/>
          <w:color w:val="000000"/>
          <w:sz w:val="26"/>
          <w:szCs w:val="26"/>
        </w:rPr>
        <w:t xml:space="preserve">e Lei nº 134/2022, que </w:t>
      </w:r>
      <w:r>
        <w:rPr>
          <w:rFonts w:ascii="Calibri" w:hAnsi="Calibri"/>
          <w:color w:val="000000"/>
          <w:sz w:val="26"/>
          <w:szCs w:val="26"/>
        </w:rPr>
        <w:t>“</w:t>
      </w:r>
      <w:r>
        <w:rPr>
          <w:rFonts w:ascii="Calibri" w:hAnsi="Calibri"/>
          <w:b/>
          <w:bCs/>
          <w:color w:val="000000"/>
          <w:sz w:val="26"/>
          <w:szCs w:val="26"/>
        </w:rPr>
        <w:t>ALTERA A LEI ORDINÁRIA Nº 6.414 DE 17 DE MARÇO DE 2022</w:t>
      </w:r>
      <w:r>
        <w:rPr>
          <w:rFonts w:ascii="Calibri" w:hAnsi="Calibri"/>
          <w:b/>
          <w:color w:val="000000"/>
          <w:sz w:val="26"/>
          <w:szCs w:val="26"/>
        </w:rPr>
        <w:t>.”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 xml:space="preserve">O autor propõe uma modificação no artigo 6º da Lei Municipal nº 6.414 de 17 de março de 2022, que </w:t>
      </w:r>
      <w:r>
        <w:rPr>
          <w:rFonts w:ascii="Calibri" w:hAnsi="Calibri"/>
          <w:i/>
          <w:iCs/>
          <w:color w:val="000000"/>
          <w:sz w:val="26"/>
          <w:szCs w:val="26"/>
        </w:rPr>
        <w:t xml:space="preserve">“DISPÕE SOBRE A CONCESSÃO DE ISENÇÕES E INCENTIVOS FISCAIS ÀS EMPRESAS QUE </w:t>
      </w:r>
      <w:r>
        <w:rPr>
          <w:rFonts w:ascii="Calibri" w:hAnsi="Calibri"/>
          <w:i/>
          <w:iCs/>
          <w:color w:val="000000"/>
          <w:sz w:val="26"/>
          <w:szCs w:val="26"/>
        </w:rPr>
        <w:t>EFETUAREM INVESTIMENTOS NO MUNICÍPIO DE MOGI MIRIM COM A INSTALAÇÃO, AMPLIAÇÃO OU MODERNIZAÇÃO DE SUA SEDE E DÁ OUTRAS PROVIDÊNCIAS</w:t>
      </w:r>
      <w:r>
        <w:rPr>
          <w:rFonts w:ascii="Calibri" w:hAnsi="Calibri"/>
          <w:color w:val="000000"/>
          <w:sz w:val="26"/>
          <w:szCs w:val="26"/>
        </w:rPr>
        <w:t>”.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A legisl</w:t>
      </w:r>
      <w:r w:rsidR="008549AE">
        <w:rPr>
          <w:rFonts w:ascii="Calibri" w:hAnsi="Calibri"/>
          <w:color w:val="000000"/>
          <w:sz w:val="26"/>
          <w:szCs w:val="26"/>
        </w:rPr>
        <w:t>ação proposta para ser alterada</w:t>
      </w:r>
      <w:r>
        <w:rPr>
          <w:rFonts w:ascii="Calibri" w:hAnsi="Calibri"/>
          <w:color w:val="000000"/>
          <w:sz w:val="26"/>
          <w:szCs w:val="26"/>
        </w:rPr>
        <w:t xml:space="preserve"> dispõe em seus artigos sobre as condições, benefícios e demais requisitos que de</w:t>
      </w:r>
      <w:r>
        <w:rPr>
          <w:rFonts w:ascii="Calibri" w:hAnsi="Calibri"/>
          <w:color w:val="000000"/>
          <w:sz w:val="26"/>
          <w:szCs w:val="26"/>
        </w:rPr>
        <w:t xml:space="preserve">vem ser cumpridos, para que o </w:t>
      </w:r>
      <w:r w:rsidR="008549AE">
        <w:rPr>
          <w:rFonts w:ascii="Calibri" w:hAnsi="Calibri"/>
          <w:color w:val="000000"/>
          <w:sz w:val="26"/>
          <w:szCs w:val="26"/>
        </w:rPr>
        <w:t>P</w:t>
      </w:r>
      <w:r>
        <w:rPr>
          <w:rFonts w:ascii="Calibri" w:hAnsi="Calibri"/>
          <w:color w:val="000000"/>
          <w:sz w:val="26"/>
          <w:szCs w:val="26"/>
        </w:rPr>
        <w:t xml:space="preserve">oder </w:t>
      </w:r>
      <w:r w:rsidR="008549AE">
        <w:rPr>
          <w:rFonts w:ascii="Calibri" w:hAnsi="Calibri"/>
          <w:color w:val="000000"/>
          <w:sz w:val="26"/>
          <w:szCs w:val="26"/>
        </w:rPr>
        <w:t>P</w:t>
      </w:r>
      <w:r>
        <w:rPr>
          <w:rFonts w:ascii="Calibri" w:hAnsi="Calibri"/>
          <w:color w:val="000000"/>
          <w:sz w:val="26"/>
          <w:szCs w:val="26"/>
        </w:rPr>
        <w:t>úblico possa</w:t>
      </w:r>
      <w:r w:rsidR="008549AE">
        <w:rPr>
          <w:rFonts w:ascii="Calibri" w:hAnsi="Calibri"/>
          <w:color w:val="000000"/>
          <w:sz w:val="26"/>
          <w:szCs w:val="26"/>
        </w:rPr>
        <w:t xml:space="preserve"> dar</w:t>
      </w:r>
      <w:r>
        <w:rPr>
          <w:rFonts w:ascii="Calibri" w:hAnsi="Calibri"/>
          <w:color w:val="000000"/>
          <w:sz w:val="26"/>
          <w:szCs w:val="26"/>
        </w:rPr>
        <w:t xml:space="preserve"> incentivos fiscais a empresas que venham a se instalar no município, ou que estejam em processo de ampliação de atividades.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O art. 6º da referida norma estabelece que após analisada a proposta de concessão</w:t>
      </w:r>
      <w:r w:rsidR="008549AE">
        <w:rPr>
          <w:rFonts w:ascii="Calibri" w:hAnsi="Calibri"/>
          <w:color w:val="000000"/>
          <w:sz w:val="26"/>
          <w:szCs w:val="26"/>
        </w:rPr>
        <w:t>,</w:t>
      </w:r>
      <w:r>
        <w:rPr>
          <w:rFonts w:ascii="Calibri" w:hAnsi="Calibri"/>
          <w:color w:val="000000"/>
          <w:sz w:val="26"/>
          <w:szCs w:val="26"/>
        </w:rPr>
        <w:t xml:space="preserve"> pela Comissão de Benefícios e Incentivos Fiscais, o Prefeito expediria um Decreto para formalizar a concessão.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 xml:space="preserve">Segundo argumentos do autor, o disposto na Lei original extrapolaria o Poder do Chefe do Executivo, com uma possível afronta </w:t>
      </w:r>
      <w:r w:rsidR="008549AE">
        <w:rPr>
          <w:rFonts w:ascii="Calibri" w:hAnsi="Calibri"/>
          <w:color w:val="000000"/>
          <w:sz w:val="26"/>
          <w:szCs w:val="26"/>
        </w:rPr>
        <w:t>a</w:t>
      </w:r>
      <w:r>
        <w:rPr>
          <w:rFonts w:ascii="Calibri" w:hAnsi="Calibri"/>
          <w:color w:val="000000"/>
          <w:sz w:val="26"/>
          <w:szCs w:val="26"/>
        </w:rPr>
        <w:t>os princípios da</w:t>
      </w:r>
      <w:r>
        <w:rPr>
          <w:rFonts w:ascii="Calibri" w:hAnsi="Calibri"/>
          <w:color w:val="000000"/>
          <w:sz w:val="26"/>
          <w:szCs w:val="26"/>
        </w:rPr>
        <w:t xml:space="preserve"> ordem constitucional, por uma suscitada reserva legal, quando a matéria for relativa a concessão de benefícios. Isto é, o incentivo necessitaria ser formalizad</w:t>
      </w:r>
      <w:r w:rsidR="008549AE">
        <w:rPr>
          <w:rFonts w:ascii="Calibri" w:hAnsi="Calibri"/>
          <w:color w:val="000000"/>
          <w:sz w:val="26"/>
          <w:szCs w:val="26"/>
        </w:rPr>
        <w:t>o</w:t>
      </w:r>
      <w:r>
        <w:rPr>
          <w:rFonts w:ascii="Calibri" w:hAnsi="Calibri"/>
          <w:color w:val="000000"/>
          <w:sz w:val="26"/>
          <w:szCs w:val="26"/>
        </w:rPr>
        <w:t xml:space="preserve"> mediante aprovação de l</w:t>
      </w:r>
      <w:r w:rsidR="008549AE">
        <w:rPr>
          <w:rFonts w:ascii="Calibri" w:hAnsi="Calibri"/>
          <w:color w:val="000000"/>
          <w:sz w:val="26"/>
          <w:szCs w:val="26"/>
        </w:rPr>
        <w:t>ei específica e não por ato do E</w:t>
      </w:r>
      <w:r>
        <w:rPr>
          <w:rFonts w:ascii="Calibri" w:hAnsi="Calibri"/>
          <w:color w:val="000000"/>
          <w:sz w:val="26"/>
          <w:szCs w:val="26"/>
        </w:rPr>
        <w:t>xecutivo.</w:t>
      </w:r>
    </w:p>
    <w:p w:rsidR="00237F2C" w:rsidRDefault="00237F2C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II. Do mérito e conclusões</w:t>
      </w:r>
      <w:r>
        <w:rPr>
          <w:rFonts w:ascii="Calibri" w:hAnsi="Calibri"/>
          <w:b/>
          <w:color w:val="000000"/>
          <w:sz w:val="26"/>
          <w:szCs w:val="26"/>
        </w:rPr>
        <w:t xml:space="preserve"> da relatora</w:t>
      </w:r>
      <w:r>
        <w:rPr>
          <w:rFonts w:ascii="Calibri" w:hAnsi="Calibri"/>
          <w:color w:val="000000"/>
          <w:sz w:val="26"/>
          <w:szCs w:val="26"/>
        </w:rPr>
        <w:t> </w:t>
      </w:r>
    </w:p>
    <w:p w:rsidR="00237F2C" w:rsidRDefault="00785DB4">
      <w:pPr>
        <w:pStyle w:val="Corpodetexto"/>
        <w:spacing w:before="240" w:after="240" w:line="240" w:lineRule="auto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Inicialmente verifica-se que o projeto se encontra em conformidade com artigo 30, inciso</w:t>
      </w:r>
      <w:r>
        <w:rPr>
          <w:rFonts w:ascii="Calibri" w:hAnsi="Calibri"/>
          <w:color w:val="000000"/>
          <w:sz w:val="26"/>
          <w:szCs w:val="26"/>
        </w:rPr>
        <w:t xml:space="preserve"> I, da Constituição Federal, uma vez que se trata de assunto de interesse local:</w:t>
      </w:r>
    </w:p>
    <w:p w:rsidR="00237F2C" w:rsidRDefault="00785DB4">
      <w:pPr>
        <w:pStyle w:val="Corpodetexto"/>
        <w:shd w:val="clear" w:color="auto" w:fill="FFFFFF"/>
        <w:spacing w:before="200" w:after="0" w:line="240" w:lineRule="auto"/>
        <w:ind w:left="354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“</w:t>
      </w:r>
      <w:r>
        <w:rPr>
          <w:rFonts w:ascii="Calibri" w:hAnsi="Calibri"/>
          <w:i/>
          <w:color w:val="000000"/>
          <w:sz w:val="24"/>
          <w:szCs w:val="24"/>
        </w:rPr>
        <w:t>Art. 30. Compete aos Municípios:</w:t>
      </w:r>
    </w:p>
    <w:p w:rsidR="00237F2C" w:rsidRDefault="00785DB4">
      <w:pPr>
        <w:pStyle w:val="Corpodetexto"/>
        <w:shd w:val="clear" w:color="auto" w:fill="FFFFFF"/>
        <w:spacing w:after="200" w:line="240" w:lineRule="auto"/>
        <w:ind w:left="3540"/>
        <w:jc w:val="both"/>
        <w:rPr>
          <w:rFonts w:ascii="Calibri" w:hAnsi="Calibri"/>
          <w:i/>
          <w:color w:val="000000"/>
          <w:sz w:val="26"/>
          <w:szCs w:val="26"/>
        </w:rPr>
      </w:pPr>
      <w:r>
        <w:rPr>
          <w:rFonts w:ascii="Calibri" w:hAnsi="Calibri"/>
          <w:i/>
          <w:color w:val="000000"/>
          <w:sz w:val="24"/>
          <w:szCs w:val="24"/>
        </w:rPr>
        <w:t xml:space="preserve">I - legislar sobre assuntos de </w:t>
      </w:r>
      <w:r>
        <w:rPr>
          <w:rFonts w:ascii="Calibri" w:hAnsi="Calibri"/>
          <w:i/>
          <w:color w:val="000000"/>
          <w:sz w:val="24"/>
          <w:szCs w:val="24"/>
        </w:rPr>
        <w:t>interesse local;</w:t>
      </w:r>
    </w:p>
    <w:p w:rsidR="00237F2C" w:rsidRDefault="00785DB4">
      <w:pPr>
        <w:pStyle w:val="Corpodetexto"/>
        <w:spacing w:before="240" w:after="240" w:line="240" w:lineRule="auto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No tocante à iniciativa para deflagrar o processo legislativo, vale lembrar que o Poder Legislativo não pode apresentar projetos de lei que possuam reserva expressa</w:t>
      </w:r>
      <w:r>
        <w:rPr>
          <w:rFonts w:ascii="Calibri" w:hAnsi="Calibri"/>
          <w:color w:val="000000"/>
          <w:sz w:val="26"/>
          <w:szCs w:val="26"/>
        </w:rPr>
        <w:t xml:space="preserve"> de iniciativa privativa ao Chefe do Executivo, o que não verificamos no caso, pois a propositura não implica </w:t>
      </w:r>
      <w:r w:rsidR="008549AE">
        <w:rPr>
          <w:rFonts w:ascii="Calibri" w:hAnsi="Calibri"/>
          <w:color w:val="000000"/>
          <w:sz w:val="26"/>
          <w:szCs w:val="26"/>
        </w:rPr>
        <w:t>n</w:t>
      </w:r>
      <w:r>
        <w:rPr>
          <w:rFonts w:ascii="Calibri" w:hAnsi="Calibri"/>
          <w:color w:val="000000"/>
          <w:sz w:val="26"/>
          <w:szCs w:val="26"/>
        </w:rPr>
        <w:t>a criação, reestruturação ou fixação de novas atribuições das secretarias municipais, tendo em vista que tal atribuição (analisar e aprovar os ped</w:t>
      </w:r>
      <w:r>
        <w:rPr>
          <w:rFonts w:ascii="Calibri" w:hAnsi="Calibri"/>
          <w:color w:val="000000"/>
          <w:sz w:val="26"/>
          <w:szCs w:val="26"/>
        </w:rPr>
        <w:t>idos), já se encontra prevista na legislação vigente.</w:t>
      </w:r>
    </w:p>
    <w:p w:rsidR="00237F2C" w:rsidRDefault="00785DB4">
      <w:pPr>
        <w:pStyle w:val="Corpodetexto"/>
        <w:spacing w:before="240" w:after="240" w:line="240" w:lineRule="auto"/>
        <w:ind w:firstLine="72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No que diz respeito à proposta, se faz necessário esclarecer alguns pontos sobre a Lei Municipal nº 6.414/22</w:t>
      </w:r>
      <w:r w:rsidR="008549AE">
        <w:rPr>
          <w:rFonts w:ascii="Calibri" w:hAnsi="Calibri"/>
          <w:color w:val="000000"/>
          <w:sz w:val="26"/>
          <w:szCs w:val="26"/>
        </w:rPr>
        <w:t>,</w:t>
      </w:r>
      <w:r>
        <w:rPr>
          <w:rFonts w:ascii="Calibri" w:hAnsi="Calibri"/>
          <w:color w:val="000000"/>
          <w:sz w:val="26"/>
          <w:szCs w:val="26"/>
        </w:rPr>
        <w:t xml:space="preserve"> que possui grande impacto para o desenvolvimento econômico local, pois disciplina a concessão</w:t>
      </w:r>
      <w:r>
        <w:rPr>
          <w:rFonts w:ascii="Calibri" w:hAnsi="Calibri"/>
          <w:color w:val="000000"/>
          <w:sz w:val="26"/>
          <w:szCs w:val="26"/>
        </w:rPr>
        <w:t xml:space="preserve"> de isenções e incentivos fiscais às empresas que efetuarem investimentos e ampliação de suas unidades de produção, revogando a lei anterior, que tratava do mesmo tema (Lei Municipal nº 6</w:t>
      </w:r>
      <w:r w:rsidR="008549AE">
        <w:rPr>
          <w:rFonts w:ascii="Calibri" w:hAnsi="Calibri"/>
          <w:color w:val="000000"/>
          <w:sz w:val="26"/>
          <w:szCs w:val="26"/>
        </w:rPr>
        <w:t>.</w:t>
      </w:r>
      <w:r>
        <w:rPr>
          <w:rFonts w:ascii="Calibri" w:hAnsi="Calibri"/>
          <w:color w:val="000000"/>
          <w:sz w:val="26"/>
          <w:szCs w:val="26"/>
        </w:rPr>
        <w:t>149/2019)</w:t>
      </w:r>
    </w:p>
    <w:p w:rsidR="00237F2C" w:rsidRDefault="00785DB4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  <w:t>A lei e</w:t>
      </w:r>
      <w:r w:rsidR="008549AE">
        <w:rPr>
          <w:rFonts w:ascii="Calibri" w:hAnsi="Calibri" w:cs="Calibri"/>
          <w:color w:val="000000"/>
          <w:sz w:val="26"/>
          <w:szCs w:val="26"/>
        </w:rPr>
        <w:t>stabelece os benefícios fiscais</w:t>
      </w:r>
      <w:r>
        <w:rPr>
          <w:rFonts w:ascii="Calibri" w:hAnsi="Calibri" w:cs="Calibri"/>
          <w:color w:val="000000"/>
          <w:sz w:val="26"/>
          <w:szCs w:val="26"/>
        </w:rPr>
        <w:t xml:space="preserve"> que podem ser con</w:t>
      </w:r>
      <w:r>
        <w:rPr>
          <w:rFonts w:ascii="Calibri" w:hAnsi="Calibri" w:cs="Calibri"/>
          <w:color w:val="000000"/>
          <w:sz w:val="26"/>
          <w:szCs w:val="26"/>
        </w:rPr>
        <w:t xml:space="preserve">cedidos em caso de </w:t>
      </w:r>
      <w:r w:rsidR="008549AE">
        <w:rPr>
          <w:rFonts w:ascii="Calibri" w:hAnsi="Calibri" w:cs="Calibri"/>
          <w:color w:val="000000"/>
          <w:sz w:val="26"/>
          <w:szCs w:val="26"/>
        </w:rPr>
        <w:t>I</w:t>
      </w:r>
      <w:r>
        <w:rPr>
          <w:rFonts w:ascii="Calibri" w:hAnsi="Calibri" w:cs="Calibri"/>
          <w:color w:val="000000"/>
          <w:sz w:val="26"/>
          <w:szCs w:val="26"/>
        </w:rPr>
        <w:t>nstalação (empresa que venha a se instalar ou construir uma filial no município), Ampliação (quando houver aumento de área) e Modernização (investimento na estrutura instalada, visando aumento da capacidade produtiva), para empresas nos</w:t>
      </w:r>
      <w:r>
        <w:rPr>
          <w:rFonts w:ascii="Calibri" w:hAnsi="Calibri" w:cs="Calibri"/>
          <w:color w:val="000000"/>
          <w:sz w:val="26"/>
          <w:szCs w:val="26"/>
        </w:rPr>
        <w:t xml:space="preserve"> setores industriais, comerciais e de prestação de serviços no âmbito municipal. 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Os principais benefícios concedidos serão: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1) Isenção do imposto sobre a transmissão “</w:t>
      </w:r>
      <w:proofErr w:type="spellStart"/>
      <w:r>
        <w:rPr>
          <w:rFonts w:ascii="Calibri" w:hAnsi="Calibri" w:cs="Calibri"/>
          <w:b/>
          <w:bCs/>
          <w:color w:val="000000"/>
          <w:sz w:val="26"/>
          <w:szCs w:val="26"/>
        </w:rPr>
        <w:t>intervivos</w:t>
      </w:r>
      <w:proofErr w:type="spellEnd"/>
      <w:r>
        <w:rPr>
          <w:rFonts w:ascii="Calibri" w:hAnsi="Calibri" w:cs="Calibri"/>
          <w:b/>
          <w:bCs/>
          <w:color w:val="000000"/>
          <w:sz w:val="26"/>
          <w:szCs w:val="26"/>
        </w:rPr>
        <w:t>” sobre o imóvel adquirido (ITBI); 2) Isenção das taxas de Licença de Funciona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mento, Publicidade e Localização; 3) Imposto sobre a Propriedade Predial e Território Urbano (IPTU); 4) Isenção da taxa de aprovação de projetos de engenharia, inclusive os cobrados SAAE; 5) Isenção da taxa de “Habite-se” no final da construção. </w:t>
      </w:r>
      <w:r>
        <w:rPr>
          <w:rFonts w:ascii="Calibri" w:hAnsi="Calibri" w:cs="Calibri"/>
          <w:color w:val="000000"/>
          <w:sz w:val="26"/>
          <w:szCs w:val="26"/>
        </w:rPr>
        <w:t xml:space="preserve">Tais </w:t>
      </w:r>
      <w:r>
        <w:rPr>
          <w:rFonts w:ascii="Calibri" w:hAnsi="Calibri" w:cs="Calibri"/>
          <w:color w:val="000000"/>
          <w:sz w:val="26"/>
          <w:szCs w:val="26"/>
        </w:rPr>
        <w:t>incentivos terão a duração máxima de 10 anos.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Para obterem o direito de usufruir dos benefícios, os requerentes também precisam apresentar contrapartidas diretas, tais como: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 1) gerar empregos diretos, apresentando estimativa conforme sua atividade; 2) apre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sentar aumento real no VA (Valor Adicionado Anual) conforme previsão no art. 2º,</w:t>
      </w:r>
      <w:r w:rsidR="008549A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§2º, inciso II; 3) manter no quando de funcionários, no mínimo, 60% de pessoas residentes no município de Mogi Mirim; 4) Destinar durante o período da isenção ou benefício, anu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almente</w:t>
      </w:r>
      <w:r w:rsidR="008549AE">
        <w:rPr>
          <w:rFonts w:ascii="Calibri" w:hAnsi="Calibri" w:cs="Calibri"/>
          <w:b/>
          <w:bCs/>
          <w:color w:val="000000"/>
          <w:sz w:val="26"/>
          <w:szCs w:val="26"/>
        </w:rPr>
        <w:t>,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 5%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 xml:space="preserve">do valor referente </w:t>
      </w:r>
      <w:r w:rsidR="008549AE">
        <w:rPr>
          <w:rFonts w:ascii="Calibri" w:hAnsi="Calibri" w:cs="Calibri"/>
          <w:b/>
          <w:bCs/>
          <w:color w:val="000000"/>
          <w:sz w:val="26"/>
          <w:szCs w:val="26"/>
        </w:rPr>
        <w:t>a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o IPTU para o Fundo Municipal do Trabalho, Emprego e Renda de Mogi Mirim. 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 Vale ressaltar, ainda no campo das obrigações por parte da interessada, no que se refere ao número de funcionários, a lei não estabelece número mínimo</w:t>
      </w:r>
      <w:r>
        <w:rPr>
          <w:rFonts w:ascii="Calibri" w:hAnsi="Calibri" w:cs="Calibri"/>
          <w:color w:val="000000"/>
          <w:sz w:val="26"/>
          <w:szCs w:val="26"/>
        </w:rPr>
        <w:t xml:space="preserve"> de funcionários para que a empresa possa ter acesso ao incentivo. Isso se deve a uma maior modernização das empresas e uma tendência em alguns setores da economia. A justificativa foi de que muitas empresas de acordo com sua atividade, por mais que não ge</w:t>
      </w:r>
      <w:r>
        <w:rPr>
          <w:rFonts w:ascii="Calibri" w:hAnsi="Calibri" w:cs="Calibri"/>
          <w:color w:val="000000"/>
          <w:sz w:val="26"/>
          <w:szCs w:val="26"/>
        </w:rPr>
        <w:t>rem muitos empregos diretos, possuem poder de capital alto, podendo gerar renda de outras formas.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Cabe ponderar</w:t>
      </w:r>
      <w:r>
        <w:rPr>
          <w:rFonts w:ascii="Calibri" w:hAnsi="Calibri" w:cs="Calibri"/>
          <w:color w:val="000000"/>
          <w:sz w:val="26"/>
          <w:szCs w:val="26"/>
        </w:rPr>
        <w:t xml:space="preserve"> que</w:t>
      </w:r>
      <w:r w:rsidR="008549AE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mesmo de forma indireta</w:t>
      </w:r>
      <w:r w:rsidR="008549AE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o crescimento das empresas e do VA (Valor Adicionado), faz aumentar a participação e recolhimento do ICMS para o mu</w:t>
      </w:r>
      <w:r>
        <w:rPr>
          <w:rFonts w:ascii="Calibri" w:hAnsi="Calibri" w:cs="Calibri"/>
          <w:color w:val="000000"/>
          <w:sz w:val="26"/>
          <w:szCs w:val="26"/>
        </w:rPr>
        <w:t>nicípio, além dos serviços que serão necessários para a manutenção e demais necessidades da empresa, que contribuem com a arrecadação do ISSQN.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Como forma de assegurar o real direito ao recebimento dos incentivos previstos na lei, de forma a evitar prejuíz</w:t>
      </w:r>
      <w:r>
        <w:rPr>
          <w:rFonts w:ascii="Calibri" w:hAnsi="Calibri" w:cs="Calibri"/>
          <w:color w:val="000000"/>
          <w:sz w:val="26"/>
          <w:szCs w:val="26"/>
        </w:rPr>
        <w:t>os ao município em possível fraude, ou no não cumprimento das contrapartidas obrigatórias, a Lei</w:t>
      </w:r>
      <w:r>
        <w:rPr>
          <w:rFonts w:ascii="Calibri" w:hAnsi="Calibri" w:cs="Calibri"/>
          <w:color w:val="000000"/>
          <w:sz w:val="26"/>
          <w:szCs w:val="26"/>
        </w:rPr>
        <w:t xml:space="preserve"> prevê a perda dos direitos dos beneficiários, com restauração sistemática da cobrança, bem como imediata devolução aos cofres</w:t>
      </w:r>
      <w:r>
        <w:rPr>
          <w:rFonts w:ascii="Calibri" w:hAnsi="Calibri" w:cs="Calibri"/>
          <w:color w:val="000000"/>
          <w:sz w:val="26"/>
          <w:szCs w:val="26"/>
        </w:rPr>
        <w:t xml:space="preserve"> dos valores não recebidos, acre</w:t>
      </w:r>
      <w:r>
        <w:rPr>
          <w:rFonts w:ascii="Calibri" w:hAnsi="Calibri" w:cs="Calibri"/>
          <w:color w:val="000000"/>
          <w:sz w:val="26"/>
          <w:szCs w:val="26"/>
        </w:rPr>
        <w:t xml:space="preserve">scidos de juros e correção monetária (art. 7º), em casos de: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1) não iniciar a produção no prazo estipulado pela lei; 2) Durante o prazo do benefício, descumprir as condições estabelecidas; e 3) efetivar </w:t>
      </w:r>
      <w:proofErr w:type="spellStart"/>
      <w:r>
        <w:rPr>
          <w:rFonts w:ascii="Calibri" w:hAnsi="Calibri" w:cs="Calibri"/>
          <w:b/>
          <w:bCs/>
          <w:color w:val="000000"/>
          <w:sz w:val="26"/>
          <w:szCs w:val="26"/>
        </w:rPr>
        <w:t>relocalização</w:t>
      </w:r>
      <w:proofErr w:type="spellEnd"/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 de domicílio tributário ou abertura de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filiais que represente REDUÇÃO do nível de arrecadação e de mão de obra.</w:t>
      </w:r>
    </w:p>
    <w:p w:rsidR="00237F2C" w:rsidRDefault="00785DB4">
      <w:pPr>
        <w:spacing w:before="240" w:after="240"/>
        <w:ind w:firstLine="720"/>
        <w:jc w:val="both"/>
        <w:rPr>
          <w:u w:val="single"/>
        </w:rPr>
      </w:pPr>
      <w:r>
        <w:rPr>
          <w:rFonts w:ascii="Calibri" w:hAnsi="Calibri" w:cs="Calibri"/>
          <w:color w:val="000000"/>
          <w:sz w:val="26"/>
          <w:szCs w:val="26"/>
          <w:u w:val="single"/>
        </w:rPr>
        <w:t xml:space="preserve">Desta forma, podemos afirmar, de forma sólida, que a atual legislação estabelece </w:t>
      </w: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NORMATIVAMENTE,</w:t>
      </w:r>
      <w:r>
        <w:rPr>
          <w:rFonts w:ascii="Calibri" w:hAnsi="Calibri" w:cs="Calibri"/>
          <w:color w:val="000000"/>
          <w:sz w:val="26"/>
          <w:szCs w:val="26"/>
          <w:u w:val="single"/>
        </w:rPr>
        <w:t xml:space="preserve"> por lei própria, a forma de concessão do incentivo, indicando as condições, pré-requis</w:t>
      </w:r>
      <w:r>
        <w:rPr>
          <w:rFonts w:ascii="Calibri" w:hAnsi="Calibri" w:cs="Calibri"/>
          <w:color w:val="000000"/>
          <w:sz w:val="26"/>
          <w:szCs w:val="26"/>
          <w:u w:val="single"/>
        </w:rPr>
        <w:t xml:space="preserve">itos, responsabilidades, prazos e demais obrigações das partes envolvidas. 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De modo complementar, para efetivar a concessão, a Lei estabelece que a avaliação e aprovação da concessão da isenção ou benefícios, assim como</w:t>
      </w:r>
      <w:r>
        <w:rPr>
          <w:rFonts w:ascii="Calibri" w:hAnsi="Calibri" w:cs="Calibri"/>
          <w:color w:val="000000"/>
          <w:sz w:val="26"/>
          <w:szCs w:val="26"/>
        </w:rPr>
        <w:t xml:space="preserve"> o acompanhamento da comprovação dos</w:t>
      </w:r>
      <w:r>
        <w:rPr>
          <w:rFonts w:ascii="Calibri" w:hAnsi="Calibri" w:cs="Calibri"/>
          <w:color w:val="000000"/>
          <w:sz w:val="26"/>
          <w:szCs w:val="26"/>
        </w:rPr>
        <w:t xml:space="preserve"> requisitos necessários para continuidade do benefício, ser</w:t>
      </w:r>
      <w:r w:rsidR="008549AE">
        <w:rPr>
          <w:rFonts w:ascii="Calibri" w:hAnsi="Calibri" w:cs="Calibri"/>
          <w:color w:val="000000"/>
          <w:sz w:val="26"/>
          <w:szCs w:val="26"/>
        </w:rPr>
        <w:t>ão</w:t>
      </w:r>
      <w:r>
        <w:rPr>
          <w:rFonts w:ascii="Calibri" w:hAnsi="Calibri" w:cs="Calibri"/>
          <w:color w:val="000000"/>
          <w:sz w:val="26"/>
          <w:szCs w:val="26"/>
        </w:rPr>
        <w:t xml:space="preserve"> feito</w:t>
      </w:r>
      <w:r w:rsidR="008549AE">
        <w:rPr>
          <w:rFonts w:ascii="Calibri" w:hAnsi="Calibri" w:cs="Calibri"/>
          <w:color w:val="000000"/>
          <w:sz w:val="26"/>
          <w:szCs w:val="26"/>
        </w:rPr>
        <w:t>s por uma comissão específica</w:t>
      </w:r>
      <w:r>
        <w:rPr>
          <w:rFonts w:ascii="Calibri" w:hAnsi="Calibri" w:cs="Calibri"/>
          <w:color w:val="000000"/>
          <w:sz w:val="26"/>
          <w:szCs w:val="26"/>
        </w:rPr>
        <w:t xml:space="preserve"> composta por 3 membros da administração. Destacamos o Art. 6º:</w:t>
      </w:r>
    </w:p>
    <w:p w:rsidR="00237F2C" w:rsidRDefault="00785DB4">
      <w:pPr>
        <w:spacing w:before="240" w:after="240"/>
        <w:ind w:left="3540"/>
        <w:jc w:val="both"/>
        <w:rPr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“Art. 6</w:t>
      </w:r>
      <w:proofErr w:type="gramStart"/>
      <w:r>
        <w:rPr>
          <w:rFonts w:ascii="Calibri" w:hAnsi="Calibri" w:cs="Calibri"/>
          <w:i/>
          <w:iCs/>
          <w:color w:val="000000"/>
          <w:sz w:val="24"/>
          <w:szCs w:val="24"/>
        </w:rPr>
        <w:t>°  O</w:t>
      </w:r>
      <w:proofErr w:type="gramEnd"/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 Secretário de Governo será o Coordenador da Comissão de Benefícios e Incentivos Fisca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is e deverá analisar o pedido de concessão dos incentivos fiscais e ao final encaminhará ao Prefeito para a expedição de Decreto.”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lastRenderedPageBreak/>
        <w:t xml:space="preserve">Neste ponto se encontra o objetivo deste projeto de lei. O autor afirma que tal conduta (concessão por meio de Decreto) extrapola o poder do chefe do </w:t>
      </w:r>
      <w:r w:rsidR="008549AE">
        <w:rPr>
          <w:rFonts w:ascii="Calibri" w:hAnsi="Calibri" w:cs="Calibri"/>
          <w:color w:val="000000"/>
          <w:sz w:val="26"/>
          <w:szCs w:val="26"/>
        </w:rPr>
        <w:t>E</w:t>
      </w:r>
      <w:r>
        <w:rPr>
          <w:rFonts w:ascii="Calibri" w:hAnsi="Calibri" w:cs="Calibri"/>
          <w:color w:val="000000"/>
          <w:sz w:val="26"/>
          <w:szCs w:val="26"/>
        </w:rPr>
        <w:t>xecutivo, pois o mesmo estaria em desacordo com a Constituição Estadual, sendo inclusive tema já pacifica</w:t>
      </w:r>
      <w:r>
        <w:rPr>
          <w:rFonts w:ascii="Calibri" w:hAnsi="Calibri" w:cs="Calibri"/>
          <w:color w:val="000000"/>
          <w:sz w:val="26"/>
          <w:szCs w:val="26"/>
        </w:rPr>
        <w:t xml:space="preserve">do no judiciário. 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 proponente fundamentou sua iniciativa no resultado de um Acórdão do Tribunal de Justiça de São Paulo, que julgou PROCEDENTE, uma Ação Direta de Inconstitucionalidade – ADI, provocada pelo Prefeito Municipal de São José do Rio Preto, co</w:t>
      </w:r>
      <w:r>
        <w:rPr>
          <w:rFonts w:ascii="Calibri" w:hAnsi="Calibri" w:cs="Calibri"/>
          <w:color w:val="000000"/>
          <w:sz w:val="26"/>
          <w:szCs w:val="26"/>
        </w:rPr>
        <w:t xml:space="preserve">ntra a Câmara Municipal, pela aprovação da Lei 13.835 que dispunha sobre o Plano de Prevenção aos Impactos da COVID – 19 como forma de proteger a economia local. 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Analisemos a lei impugnada. O Vereador daquela municipalidade apresentou um Projeto de Lei (a</w:t>
      </w:r>
      <w:r>
        <w:rPr>
          <w:rFonts w:ascii="Calibri" w:hAnsi="Calibri" w:cs="Calibri"/>
          <w:color w:val="000000"/>
          <w:sz w:val="26"/>
          <w:szCs w:val="26"/>
        </w:rPr>
        <w:t>provada) que criava no município, o “Plano de Prevenção aos Impactos da Covid-19” e autorizava, de forma genérica, o Poder Executivo a conceder incentivos fiscais, descontos e isenções em impostos municipais, taxas e contribuições, para estabelecimentos co</w:t>
      </w:r>
      <w:r>
        <w:rPr>
          <w:rFonts w:ascii="Calibri" w:hAnsi="Calibri" w:cs="Calibri"/>
          <w:color w:val="000000"/>
          <w:sz w:val="26"/>
          <w:szCs w:val="26"/>
        </w:rPr>
        <w:t>merciais, industriais, prestadores de serviços e congêneres. A legislação prevê</w:t>
      </w:r>
      <w:r w:rsidR="008549AE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ainda</w:t>
      </w:r>
      <w:r w:rsidR="008549AE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que o Poder Executivo Municipal regulamentará a lei, por meio de Decreto.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Conforme mencionado anteriormente, tal norma foi alvo de uma ADI, sendo considerada Inconstituci</w:t>
      </w:r>
      <w:r>
        <w:rPr>
          <w:rFonts w:ascii="Calibri" w:hAnsi="Calibri" w:cs="Calibri"/>
          <w:color w:val="000000"/>
          <w:sz w:val="26"/>
          <w:szCs w:val="26"/>
        </w:rPr>
        <w:t>onal.</w:t>
      </w:r>
    </w:p>
    <w:p w:rsidR="00237F2C" w:rsidRDefault="00785DB4">
      <w:pPr>
        <w:spacing w:before="240" w:after="240"/>
        <w:ind w:left="2832"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 1 Artigo 1º, primeira parte. Dispositivo que autoriza o Poder Executivo a conceder incentivos fiscais, descontos e isenções sobre os impostos e taxas municipais. Alegação de ofensa ao princípio da separação dos poderes. Rejeição. Matéria tributária.</w:t>
      </w:r>
      <w:r>
        <w:rPr>
          <w:rFonts w:ascii="Calibri" w:hAnsi="Calibri"/>
          <w:i/>
          <w:iCs/>
          <w:sz w:val="24"/>
          <w:szCs w:val="24"/>
        </w:rPr>
        <w:t xml:space="preserve"> Competência concorrente, inclusive para disciplina de redução de tributos ou de concessão de isenção fiscal; e ainda que a lei cause eventual repercussão em matéria orçamentária (Tema 682 do STF). Inconstitucionalidade afastada sob esse aspecto. Posiciona</w:t>
      </w:r>
      <w:r>
        <w:rPr>
          <w:rFonts w:ascii="Calibri" w:hAnsi="Calibri"/>
          <w:i/>
          <w:iCs/>
          <w:sz w:val="24"/>
          <w:szCs w:val="24"/>
        </w:rPr>
        <w:t>mento que deve prevalecer mesmo diante da ausência do demonstrativo de impacto financeiro a que se refere o artigo 113 do ADCT (incluído pela EC 95/2016), pois a norma impugnada (Lei n. 13.835, de 30 de julho de 2021) foi editada na vigência do regime fisc</w:t>
      </w:r>
      <w:r>
        <w:rPr>
          <w:rFonts w:ascii="Calibri" w:hAnsi="Calibri"/>
          <w:i/>
          <w:iCs/>
          <w:sz w:val="24"/>
          <w:szCs w:val="24"/>
        </w:rPr>
        <w:t xml:space="preserve">al extraordinário instituído pela Emenda Constitucional n. 109, de 15 de março de 2021, que acrescentou à Constituição Federal o artigo 167-D, afastando temporariamente aquela exigência. </w:t>
      </w:r>
    </w:p>
    <w:p w:rsidR="00237F2C" w:rsidRDefault="00785DB4">
      <w:pPr>
        <w:spacing w:before="240" w:after="240"/>
        <w:ind w:left="2832" w:firstLine="720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2 - Inconstitucionalidade, entretanto, que pode ser reconhecida por </w:t>
      </w:r>
      <w:r>
        <w:rPr>
          <w:rFonts w:ascii="Calibri" w:hAnsi="Calibri"/>
          <w:i/>
          <w:iCs/>
          <w:sz w:val="24"/>
          <w:szCs w:val="24"/>
        </w:rPr>
        <w:t xml:space="preserve">fundamento diverso, em razão da causa de pedir aberta da ação direta de inconstitucionalidade. </w:t>
      </w:r>
    </w:p>
    <w:p w:rsidR="00237F2C" w:rsidRDefault="00785DB4">
      <w:pPr>
        <w:spacing w:before="240" w:after="240"/>
        <w:ind w:left="2832" w:firstLine="720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lastRenderedPageBreak/>
        <w:t xml:space="preserve">3 - Poder Legislativo que, mesmo diante de sua competência concorrente em matéria tributária, </w:t>
      </w:r>
      <w:r>
        <w:rPr>
          <w:rFonts w:ascii="Calibri" w:hAnsi="Calibri"/>
          <w:i/>
          <w:iCs/>
          <w:sz w:val="24"/>
          <w:szCs w:val="24"/>
          <w:u w:val="single"/>
        </w:rPr>
        <w:t>não concedeu os questionados incentivos fiscais, mas apenas delego</w:t>
      </w:r>
      <w:r>
        <w:rPr>
          <w:rFonts w:ascii="Calibri" w:hAnsi="Calibri"/>
          <w:i/>
          <w:iCs/>
          <w:sz w:val="24"/>
          <w:szCs w:val="24"/>
          <w:u w:val="single"/>
        </w:rPr>
        <w:t>u ao Poder Executivo a possibilidade de fazê-lo. Hipótese de ofensa ao princípio da reserva legal. Delegação incompatível com a disposição do artigo 163, § 6º, da Constituição Estadua</w:t>
      </w:r>
      <w:r>
        <w:rPr>
          <w:rFonts w:ascii="Calibri" w:hAnsi="Calibri"/>
          <w:i/>
          <w:iCs/>
          <w:sz w:val="24"/>
          <w:szCs w:val="24"/>
        </w:rPr>
        <w:t>l (aplicável aos municípios por força de seu artigo 144). Decreto do Pref</w:t>
      </w:r>
      <w:r>
        <w:rPr>
          <w:rFonts w:ascii="Calibri" w:hAnsi="Calibri"/>
          <w:i/>
          <w:iCs/>
          <w:sz w:val="24"/>
          <w:szCs w:val="24"/>
        </w:rPr>
        <w:t>eito que não pode conceder isenções e incentivos. Precedentes deste C. Órgão Especial. Posicionamento alinhado à jurisprudência do plenário do Supremo Tribunal Federal no sentido de que “a outorga de qualquer subsídio, isenção ou crédito presumido, a reduç</w:t>
      </w:r>
      <w:r>
        <w:rPr>
          <w:rFonts w:ascii="Calibri" w:hAnsi="Calibri"/>
          <w:i/>
          <w:iCs/>
          <w:sz w:val="24"/>
          <w:szCs w:val="24"/>
        </w:rPr>
        <w:t>ão de base de cálculo e a concessão de anistia ou remissão em matéria tributária só podem ser deferidas mediante lei específica, sendo vedado ao Poder Legislativo conferir ao Chefe do Executivo a prerrogativa extraordinária de dispor, normativamente, sobre</w:t>
      </w:r>
      <w:r>
        <w:rPr>
          <w:rFonts w:ascii="Calibri" w:hAnsi="Calibri"/>
          <w:i/>
          <w:iCs/>
          <w:sz w:val="24"/>
          <w:szCs w:val="24"/>
        </w:rPr>
        <w:t xml:space="preserve"> tais categorias temáticas, sob pena de ofensa ao postulado nuclear da separação de poderes e de transgressão ao princípio da reserva constitucional de competência legislativa” (ADI 1.247, Pleno, Rel. Min. Celso de Mello, DJ de 8.9.95). </w:t>
      </w:r>
    </w:p>
    <w:p w:rsidR="00237F2C" w:rsidRDefault="00785DB4">
      <w:pPr>
        <w:spacing w:before="240" w:after="240"/>
        <w:ind w:left="2832" w:firstLine="720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4 Artigo 1º, parte</w:t>
      </w:r>
      <w:r>
        <w:rPr>
          <w:rFonts w:ascii="Calibri" w:hAnsi="Calibri"/>
          <w:i/>
          <w:iCs/>
          <w:sz w:val="24"/>
          <w:szCs w:val="24"/>
        </w:rPr>
        <w:t xml:space="preserve"> final. Dispositivo que autoriza o Poder Executivo a conceder descontos e isenções (também) sobre prestações e mensalidades dos projetos habitacionais, ou qualquer outro valor cobrado pela Administração Pública. Ofensa ao princípio da separação dos poderes</w:t>
      </w:r>
      <w:r>
        <w:rPr>
          <w:rFonts w:ascii="Calibri" w:hAnsi="Calibri"/>
          <w:i/>
          <w:iCs/>
          <w:sz w:val="24"/>
          <w:szCs w:val="24"/>
        </w:rPr>
        <w:t>. Reconhecimento. Mensalidades e prestações que tem natureza contratual, e não tributária. Expressão “qualquer outro valor cobrado pela Administração Pública Direta ou Indireta”, ademais, que pode ser entendida como “preço público” ou “outros ingressos” (a</w:t>
      </w:r>
      <w:r>
        <w:rPr>
          <w:rFonts w:ascii="Calibri" w:hAnsi="Calibri"/>
          <w:i/>
          <w:iCs/>
          <w:sz w:val="24"/>
          <w:szCs w:val="24"/>
        </w:rPr>
        <w:t>rtigo 159 da Constituição Estadual), mas nunca como tributo. Isenções e descontos, portanto, que não estão abrangidas pela competência concorrente a que se refere o Tema 682 do STF. Impossibilidade de ingerência do legislativo. Inconstitucionalidade manife</w:t>
      </w:r>
      <w:r>
        <w:rPr>
          <w:rFonts w:ascii="Calibri" w:hAnsi="Calibri"/>
          <w:i/>
          <w:iCs/>
          <w:sz w:val="24"/>
          <w:szCs w:val="24"/>
        </w:rPr>
        <w:t xml:space="preserve">sta. </w:t>
      </w:r>
    </w:p>
    <w:p w:rsidR="00237F2C" w:rsidRDefault="00785DB4">
      <w:pPr>
        <w:spacing w:before="240" w:after="240"/>
        <w:ind w:left="2832" w:firstLine="720"/>
        <w:jc w:val="both"/>
      </w:pPr>
      <w:r>
        <w:rPr>
          <w:rFonts w:ascii="Calibri" w:hAnsi="Calibri"/>
          <w:i/>
          <w:iCs/>
          <w:sz w:val="24"/>
          <w:szCs w:val="24"/>
        </w:rPr>
        <w:t xml:space="preserve">5 Artigo 5º da lei impugnada. Dispositivo que atribui à Secretaria Municipal da Fazenda a </w:t>
      </w:r>
      <w:r>
        <w:rPr>
          <w:rFonts w:ascii="Calibri" w:hAnsi="Calibri"/>
          <w:i/>
          <w:iCs/>
          <w:sz w:val="24"/>
          <w:szCs w:val="24"/>
          <w:u w:val="single"/>
        </w:rPr>
        <w:t>obrigação de fixar diretrizes para concessões dos benefícios. Inadmissibilidade. Violação dos artigos 5º e 47, incisos XIV e XIX, “a”, da Constituição Estadual.</w:t>
      </w:r>
      <w:r>
        <w:rPr>
          <w:rFonts w:ascii="Calibri" w:hAnsi="Calibri"/>
          <w:i/>
          <w:iCs/>
          <w:sz w:val="24"/>
          <w:szCs w:val="24"/>
          <w:u w:val="single"/>
        </w:rPr>
        <w:t xml:space="preserve"> 6 Ação julgada procedente.”</w:t>
      </w:r>
    </w:p>
    <w:p w:rsidR="00237F2C" w:rsidRDefault="00785DB4">
      <w:pPr>
        <w:spacing w:before="240" w:after="240"/>
        <w:jc w:val="both"/>
      </w:pPr>
      <w:r>
        <w:rPr>
          <w:rFonts w:ascii="Calibri" w:hAnsi="Calibri"/>
          <w:sz w:val="26"/>
          <w:szCs w:val="26"/>
        </w:rPr>
        <w:tab/>
        <w:t>O colegiado do Tribunal Paulista entendeu que a norma afrontou o princípio de reserva legal da matéria. Destacamos:</w:t>
      </w:r>
    </w:p>
    <w:p w:rsidR="00237F2C" w:rsidRDefault="00785DB4">
      <w:pPr>
        <w:spacing w:before="240" w:after="240"/>
        <w:ind w:left="2832"/>
        <w:jc w:val="both"/>
        <w:rPr>
          <w:i/>
          <w:iCs/>
        </w:rPr>
      </w:pPr>
      <w:r>
        <w:rPr>
          <w:rFonts w:ascii="Calibri" w:hAnsi="Calibri"/>
          <w:i/>
          <w:iCs/>
          <w:sz w:val="26"/>
          <w:szCs w:val="26"/>
        </w:rPr>
        <w:lastRenderedPageBreak/>
        <w:t>“</w:t>
      </w:r>
      <w:r>
        <w:rPr>
          <w:rFonts w:ascii="Calibri" w:hAnsi="Calibri"/>
          <w:i/>
          <w:iCs/>
          <w:sz w:val="26"/>
          <w:szCs w:val="26"/>
        </w:rPr>
        <w:t xml:space="preserve">[…] torna possível declarar a inconstitucionalidade da norma impugnada por afronta ao princípio da reserva legal, pois o Poder Legislativo, mesmo possuindo competência concorrente em matéria tributária, não concedeu os questionados incentivos fiscais, </w:t>
      </w:r>
      <w:r>
        <w:rPr>
          <w:rFonts w:ascii="Calibri" w:hAnsi="Calibri"/>
          <w:i/>
          <w:iCs/>
          <w:sz w:val="26"/>
          <w:szCs w:val="26"/>
          <w:u w:val="single"/>
        </w:rPr>
        <w:t xml:space="preserve">mas </w:t>
      </w:r>
      <w:r>
        <w:rPr>
          <w:rFonts w:ascii="Calibri" w:hAnsi="Calibri"/>
          <w:i/>
          <w:iCs/>
          <w:sz w:val="26"/>
          <w:szCs w:val="26"/>
          <w:u w:val="single"/>
        </w:rPr>
        <w:t>apenas delegou ao Poder Executivo a possibilidade de fazê-lo, o que revela hipótese de ofensa ao princípio da reserva legal, porque essa delegação é incompatível com a disposição do artigo 163, § 6º, da Constituição Estadual</w:t>
      </w:r>
      <w:r>
        <w:rPr>
          <w:rFonts w:ascii="Calibri" w:hAnsi="Calibri"/>
          <w:i/>
          <w:iCs/>
          <w:sz w:val="26"/>
          <w:szCs w:val="26"/>
        </w:rPr>
        <w:t xml:space="preserve"> (aplicável aos municípios por força de seu artigo 144), considerando, principalmente, que Decreto do Prefeito não pode conceder isenções e incentivos fiscais [...]”</w:t>
      </w:r>
    </w:p>
    <w:p w:rsidR="00237F2C" w:rsidRDefault="00785DB4">
      <w:pPr>
        <w:spacing w:before="240" w:after="240"/>
        <w:jc w:val="both"/>
      </w:pPr>
      <w:r>
        <w:rPr>
          <w:rFonts w:ascii="Calibri" w:hAnsi="Calibri" w:cs="Calibri"/>
          <w:color w:val="000000"/>
          <w:sz w:val="26"/>
          <w:szCs w:val="26"/>
        </w:rPr>
        <w:tab/>
        <w:t>Como pode ser observado, o Tribunal fundamentou seu julgamento no disposto no art. 163 da</w:t>
      </w:r>
      <w:r>
        <w:rPr>
          <w:rFonts w:ascii="Calibri" w:hAnsi="Calibri" w:cs="Calibri"/>
          <w:color w:val="000000"/>
          <w:sz w:val="26"/>
          <w:szCs w:val="26"/>
        </w:rPr>
        <w:t xml:space="preserve"> Constituição Estadual. </w:t>
      </w:r>
    </w:p>
    <w:p w:rsidR="00237F2C" w:rsidRDefault="00785DB4">
      <w:pPr>
        <w:spacing w:before="240" w:after="240"/>
        <w:ind w:left="2832"/>
        <w:jc w:val="both"/>
        <w:rPr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“Artigo 163 - Sem prejuízo de outras garantias asseguradas ao contribuinte, é vedado ao Estado:</w:t>
      </w:r>
    </w:p>
    <w:p w:rsidR="00237F2C" w:rsidRDefault="00785DB4">
      <w:pPr>
        <w:spacing w:before="240" w:after="240"/>
        <w:ind w:left="2832"/>
        <w:jc w:val="both"/>
        <w:rPr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§6º - Qualquer subsídio ou isenção, redução de base de cálculo, concessão de crédito presumido, anistia ou remissão, relativos a impost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os, taxas ou contribuições, só poderão ser concedidos mediante lei estadual específica, 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que regule exclusivamente as matérias acima enumeradas ou o correspondente tributo ou contribuição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, sem prejuízo do disposto no artigo 155, § 2º, XII, “g”, da Constitui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ção Federal”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Observemos que a norma maior estadual, estabelece que o Estad</w:t>
      </w:r>
      <w:r w:rsidR="008549AE">
        <w:rPr>
          <w:rFonts w:ascii="Calibri" w:hAnsi="Calibri" w:cs="Calibri"/>
          <w:color w:val="000000"/>
          <w:sz w:val="26"/>
          <w:szCs w:val="26"/>
        </w:rPr>
        <w:t>o só poderá conceder benefícios</w:t>
      </w:r>
      <w:r>
        <w:rPr>
          <w:rFonts w:ascii="Calibri" w:hAnsi="Calibri" w:cs="Calibri"/>
          <w:color w:val="000000"/>
          <w:sz w:val="26"/>
          <w:szCs w:val="26"/>
        </w:rPr>
        <w:t xml:space="preserve"> mediante lei estadual específica, </w:t>
      </w:r>
      <w:r w:rsidRPr="008549AE">
        <w:rPr>
          <w:rFonts w:ascii="Calibri" w:hAnsi="Calibri" w:cs="Calibri"/>
          <w:b/>
          <w:color w:val="000000"/>
          <w:sz w:val="26"/>
          <w:szCs w:val="26"/>
        </w:rPr>
        <w:t>QUE REGULE EXCLUSIVAMENTE A MATÉRIA</w:t>
      </w:r>
      <w:r>
        <w:rPr>
          <w:rFonts w:ascii="Calibri" w:hAnsi="Calibri" w:cs="Calibri"/>
          <w:color w:val="000000"/>
          <w:sz w:val="26"/>
          <w:szCs w:val="26"/>
        </w:rPr>
        <w:t>. Frisamos outro trecho da decisão:</w:t>
      </w:r>
    </w:p>
    <w:p w:rsidR="00237F2C" w:rsidRDefault="00785DB4">
      <w:pPr>
        <w:spacing w:before="240" w:after="240"/>
        <w:ind w:left="2832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iCs/>
          <w:color w:val="000000"/>
          <w:sz w:val="26"/>
          <w:szCs w:val="26"/>
        </w:rPr>
        <w:t>[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>…] Trata-se de entendimento alinhado à juri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 xml:space="preserve">sprudência do plenário do Supremo Tribunal Federal no sentido de que “a outorga de qualquer subsídio, isenção ou crédito presumido, a redução de base de cálculo e a concessão de anistia ou remissão em matéria tributária só podem ser deferidas mediante lei 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 xml:space="preserve">específica, </w:t>
      </w:r>
      <w:r>
        <w:rPr>
          <w:rFonts w:ascii="Calibri" w:hAnsi="Calibri" w:cs="Calibri"/>
          <w:i/>
          <w:iCs/>
          <w:color w:val="000000"/>
          <w:sz w:val="26"/>
          <w:szCs w:val="26"/>
          <w:u w:val="single"/>
        </w:rPr>
        <w:t xml:space="preserve">sendo vedado ao Poder Legislativo conferir ao Chefe do Executivo a prerrogativa extraordinária de dispor, </w:t>
      </w:r>
      <w:r>
        <w:rPr>
          <w:rFonts w:ascii="Calibri" w:hAnsi="Calibri" w:cs="Calibri"/>
          <w:b/>
          <w:bCs/>
          <w:i/>
          <w:iCs/>
          <w:color w:val="000000"/>
          <w:sz w:val="26"/>
          <w:szCs w:val="26"/>
          <w:u w:val="single"/>
        </w:rPr>
        <w:t>NORMATIVAMENTE</w:t>
      </w:r>
      <w:r>
        <w:rPr>
          <w:rFonts w:ascii="Calibri" w:hAnsi="Calibri" w:cs="Calibri"/>
          <w:i/>
          <w:iCs/>
          <w:color w:val="000000"/>
          <w:sz w:val="26"/>
          <w:szCs w:val="26"/>
          <w:u w:val="single"/>
        </w:rPr>
        <w:t>, sobre tais categorias temáticas,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 xml:space="preserve"> sob pena de ofensa ao postulado nuclear da separação de poderes e de transgressão ao princípio da reserva constitucional de competência legislativa (ADI 1.247, Pleno, Rel. Min. Celso de Mello, DJ de 8.9.95).”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lastRenderedPageBreak/>
        <w:t>Em face do exposto, não nos parece que lei mun</w:t>
      </w:r>
      <w:r>
        <w:rPr>
          <w:rFonts w:ascii="Calibri" w:hAnsi="Calibri" w:cs="Calibri"/>
          <w:color w:val="000000"/>
          <w:sz w:val="26"/>
          <w:szCs w:val="26"/>
        </w:rPr>
        <w:t>icipal</w:t>
      </w:r>
      <w:r w:rsidR="008549AE">
        <w:rPr>
          <w:rFonts w:ascii="Calibri" w:hAnsi="Calibri" w:cs="Calibri"/>
          <w:color w:val="000000"/>
          <w:sz w:val="26"/>
          <w:szCs w:val="26"/>
        </w:rPr>
        <w:t xml:space="preserve"> ora em reanálise, se equipare à</w:t>
      </w:r>
      <w:r>
        <w:rPr>
          <w:rFonts w:ascii="Calibri" w:hAnsi="Calibri" w:cs="Calibri"/>
          <w:color w:val="000000"/>
          <w:sz w:val="26"/>
          <w:szCs w:val="26"/>
        </w:rPr>
        <w:t xml:space="preserve"> norma julgada, tampouco, que viole a previsão da Constituição Estadual, tendo em vista que a lei </w:t>
      </w:r>
      <w:r>
        <w:rPr>
          <w:rFonts w:ascii="Calibri" w:hAnsi="Calibri" w:cs="Calibri"/>
          <w:color w:val="000000"/>
          <w:sz w:val="26"/>
          <w:szCs w:val="26"/>
          <w:u w:val="single"/>
        </w:rPr>
        <w:t>não se limita apenas a autorizar a concessão dos benefícios, nem se trata apenas de uma “delegação” de poderes, mas, pri</w:t>
      </w:r>
      <w:r>
        <w:rPr>
          <w:rFonts w:ascii="Calibri" w:hAnsi="Calibri" w:cs="Calibri"/>
          <w:color w:val="000000"/>
          <w:sz w:val="26"/>
          <w:szCs w:val="26"/>
          <w:u w:val="single"/>
        </w:rPr>
        <w:t>ncipalmente, estabelece normativamente os pré-requisitos, as hipóteses, compromissos, medidas aplicáveis em casos de descumprimento, prazos e outras condições para sua efetiva execução, conforme já afirmado neste parecer.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Em contrapartida, cabe a esta comi</w:t>
      </w:r>
      <w:r>
        <w:rPr>
          <w:rFonts w:ascii="Calibri" w:hAnsi="Calibri" w:cs="Calibri"/>
          <w:color w:val="000000"/>
          <w:sz w:val="26"/>
          <w:szCs w:val="26"/>
        </w:rPr>
        <w:t xml:space="preserve">ssão permanente opinar sobre legalidade e constitucionalidade da proposta em tela, ao ponto que, não identificamos óbices que empeçam a tramitação do projeto, </w:t>
      </w:r>
      <w:r>
        <w:rPr>
          <w:rFonts w:ascii="Calibri" w:hAnsi="Calibri" w:cs="Calibri"/>
          <w:color w:val="000000"/>
          <w:sz w:val="26"/>
          <w:szCs w:val="26"/>
        </w:rPr>
        <w:t>cabendo apenas reforçar entendimento de que não verificamos ilegalidade na legislação vigente</w:t>
      </w:r>
      <w:r>
        <w:rPr>
          <w:rFonts w:ascii="Calibri" w:hAnsi="Calibri" w:cs="Calibri"/>
          <w:color w:val="000000"/>
          <w:sz w:val="26"/>
          <w:szCs w:val="26"/>
        </w:rPr>
        <w:t xml:space="preserve"> pelos argumentos retro expostos. </w:t>
      </w:r>
    </w:p>
    <w:p w:rsidR="00237F2C" w:rsidRDefault="00785DB4">
      <w:pPr>
        <w:spacing w:before="240" w:after="240"/>
        <w:ind w:firstLine="7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Por fim, recomendamos que as comissões de mérito analisem a real necessidade da proposta, em especial, sobre seu impacto na morosidade e aumento da burocracia que a medida gerará.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III. Substitutivos, Emendas ou subemendas</w:t>
      </w:r>
      <w:r>
        <w:rPr>
          <w:rFonts w:ascii="Calibri" w:hAnsi="Calibri"/>
          <w:b/>
          <w:color w:val="000000"/>
          <w:sz w:val="26"/>
          <w:szCs w:val="26"/>
        </w:rPr>
        <w:t xml:space="preserve"> ao Projeto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 xml:space="preserve">Esta relatoria não possui emendas a propor 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IV. Decisão da Relatora</w:t>
      </w:r>
    </w:p>
    <w:p w:rsidR="00237F2C" w:rsidRDefault="00785DB4">
      <w:pPr>
        <w:pStyle w:val="Corpodetexto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P</w:t>
      </w:r>
      <w:r>
        <w:rPr>
          <w:rFonts w:ascii="Calibri" w:hAnsi="Calibri"/>
          <w:color w:val="000000"/>
          <w:sz w:val="26"/>
          <w:szCs w:val="26"/>
          <w:shd w:val="clear" w:color="auto" w:fill="FFFFFF"/>
        </w:rPr>
        <w:t xml:space="preserve">ortanto, esta Relatoria considera que a presente propositura não apresenta vícios de constitucionalidade, recebendo parecer </w:t>
      </w:r>
      <w:r w:rsidRPr="008549AE">
        <w:rPr>
          <w:rFonts w:ascii="Calibri" w:hAnsi="Calibri"/>
          <w:b/>
          <w:color w:val="000000"/>
          <w:sz w:val="26"/>
          <w:szCs w:val="26"/>
          <w:shd w:val="clear" w:color="auto" w:fill="FFFFFF"/>
        </w:rPr>
        <w:t>FAVORÁVEL</w:t>
      </w:r>
      <w:r>
        <w:rPr>
          <w:rFonts w:ascii="Calibri" w:hAnsi="Calibri"/>
          <w:color w:val="000000"/>
          <w:sz w:val="26"/>
          <w:szCs w:val="26"/>
        </w:rPr>
        <w:t>.</w:t>
      </w:r>
    </w:p>
    <w:p w:rsidR="00237F2C" w:rsidRDefault="00785DB4">
      <w:pPr>
        <w:pStyle w:val="Corpodetexto"/>
        <w:spacing w:before="240" w:after="0" w:line="240" w:lineRule="auto"/>
        <w:jc w:val="center"/>
        <w:rPr>
          <w:rFonts w:ascii="Calibri" w:hAnsi="Calibri"/>
          <w:color w:val="000000"/>
          <w:sz w:val="26"/>
          <w:szCs w:val="26"/>
          <w:shd w:val="clear" w:color="auto" w:fill="FFFFFF"/>
        </w:rPr>
      </w:pPr>
      <w:r>
        <w:rPr>
          <w:rFonts w:ascii="Calibri" w:hAnsi="Calibri"/>
          <w:color w:val="000000"/>
          <w:sz w:val="26"/>
          <w:szCs w:val="26"/>
          <w:shd w:val="clear" w:color="auto" w:fill="FFFFFF"/>
        </w:rPr>
        <w:t>Sala das Comissões, em 21</w:t>
      </w:r>
      <w:r w:rsidR="008549AE">
        <w:rPr>
          <w:rFonts w:ascii="Calibri" w:hAnsi="Calibri"/>
          <w:color w:val="000000"/>
          <w:sz w:val="26"/>
          <w:szCs w:val="26"/>
          <w:shd w:val="clear" w:color="auto" w:fill="FFFFFF"/>
        </w:rPr>
        <w:t xml:space="preserve"> de novembro de 2022</w:t>
      </w:r>
    </w:p>
    <w:p w:rsidR="00237F2C" w:rsidRDefault="00785DB4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  <w:u w:val="single"/>
        </w:rPr>
      </w:pPr>
      <w:r>
        <w:rPr>
          <w:rFonts w:ascii="Calibri" w:hAnsi="Calibri"/>
          <w:b/>
          <w:color w:val="000000"/>
          <w:sz w:val="26"/>
          <w:szCs w:val="26"/>
          <w:u w:val="single"/>
        </w:rPr>
        <w:t>COMISSÃO DE JUSTIÇA E REDAÇÃO</w:t>
      </w:r>
    </w:p>
    <w:p w:rsidR="00237F2C" w:rsidRDefault="00237F2C">
      <w:pPr>
        <w:pStyle w:val="Corpodetexto"/>
        <w:spacing w:line="240" w:lineRule="auto"/>
        <w:rPr>
          <w:rFonts w:ascii="Calibri" w:hAnsi="Calibri"/>
          <w:sz w:val="26"/>
          <w:szCs w:val="26"/>
        </w:rPr>
      </w:pPr>
    </w:p>
    <w:p w:rsidR="00237F2C" w:rsidRDefault="00237F2C">
      <w:pPr>
        <w:pStyle w:val="Corpodetexto"/>
        <w:spacing w:line="240" w:lineRule="auto"/>
        <w:rPr>
          <w:rFonts w:ascii="Calibri" w:hAnsi="Calibri"/>
          <w:sz w:val="26"/>
          <w:szCs w:val="26"/>
        </w:rPr>
      </w:pPr>
    </w:p>
    <w:p w:rsidR="00237F2C" w:rsidRDefault="00785DB4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 xml:space="preserve">Vereadora Mara Cristina </w:t>
      </w:r>
      <w:proofErr w:type="spellStart"/>
      <w:r>
        <w:rPr>
          <w:rFonts w:ascii="Calibri" w:hAnsi="Calibri"/>
          <w:b/>
          <w:color w:val="000000"/>
          <w:sz w:val="26"/>
          <w:szCs w:val="26"/>
        </w:rPr>
        <w:t>Choquetta</w:t>
      </w:r>
      <w:proofErr w:type="spellEnd"/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237F2C">
      <w:pPr>
        <w:pStyle w:val="Corpodetexto"/>
        <w:spacing w:before="240" w:after="0" w:line="240" w:lineRule="auto"/>
        <w:jc w:val="center"/>
        <w:rPr>
          <w:rFonts w:ascii="Calibri" w:hAnsi="Calibri"/>
          <w:b/>
          <w:color w:val="000000"/>
          <w:sz w:val="26"/>
          <w:szCs w:val="26"/>
        </w:rPr>
      </w:pPr>
    </w:p>
    <w:p w:rsidR="00237F2C" w:rsidRDefault="00785DB4">
      <w:pPr>
        <w:pStyle w:val="Corpodetexto"/>
        <w:spacing w:line="240" w:lineRule="auto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color w:val="000000"/>
          <w:sz w:val="26"/>
          <w:szCs w:val="26"/>
        </w:rPr>
        <w:t>PARECER FAVORÁVEL N.º       /2022 DA COMISSÃO DE JUSTIÇA E REDAÇÃO</w:t>
      </w:r>
    </w:p>
    <w:p w:rsidR="00237F2C" w:rsidRDefault="00237F2C">
      <w:pPr>
        <w:pStyle w:val="Corpodetexto"/>
        <w:spacing w:before="240" w:after="0" w:line="240" w:lineRule="auto"/>
        <w:jc w:val="both"/>
        <w:rPr>
          <w:color w:val="000000"/>
          <w:sz w:val="26"/>
        </w:rPr>
      </w:pPr>
    </w:p>
    <w:p w:rsidR="00237F2C" w:rsidRPr="008549AE" w:rsidRDefault="00785DB4">
      <w:pPr>
        <w:pStyle w:val="Corpodetexto"/>
        <w:spacing w:before="240" w:after="0" w:line="240" w:lineRule="auto"/>
        <w:jc w:val="both"/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>Seguindo o Voto exarado pela Relatora e conforme determina o artigo 35 da Resolução n.º 276 de 09 de novembro de 2</w:t>
      </w:r>
      <w:r>
        <w:rPr>
          <w:rFonts w:ascii="Calibri" w:hAnsi="Calibri"/>
          <w:color w:val="000000"/>
          <w:sz w:val="26"/>
        </w:rPr>
        <w:t xml:space="preserve">010, a Comissão de Justiça e Redação formaliza o presente </w:t>
      </w:r>
      <w:r>
        <w:rPr>
          <w:rFonts w:ascii="Calibri" w:hAnsi="Calibri"/>
          <w:b/>
          <w:color w:val="000000"/>
          <w:sz w:val="26"/>
        </w:rPr>
        <w:t>PARECER FAVORÁVEL</w:t>
      </w:r>
      <w:r>
        <w:rPr>
          <w:rFonts w:ascii="Calibri" w:hAnsi="Calibri"/>
          <w:color w:val="000000"/>
          <w:sz w:val="26"/>
        </w:rPr>
        <w:t>.</w:t>
      </w:r>
    </w:p>
    <w:p w:rsidR="00237F2C" w:rsidRDefault="00785DB4">
      <w:pPr>
        <w:pStyle w:val="Corpodetexto"/>
        <w:spacing w:before="240" w:after="0" w:line="240" w:lineRule="auto"/>
        <w:jc w:val="center"/>
        <w:rPr>
          <w:rFonts w:ascii="Calibri" w:hAnsi="Calibri"/>
          <w:color w:val="000000"/>
          <w:sz w:val="26"/>
          <w:shd w:val="clear" w:color="auto" w:fill="FFFFFF"/>
        </w:rPr>
      </w:pPr>
      <w:r>
        <w:rPr>
          <w:rFonts w:ascii="Calibri" w:hAnsi="Calibri"/>
          <w:color w:val="000000"/>
          <w:sz w:val="26"/>
          <w:shd w:val="clear" w:color="auto" w:fill="FFFFFF"/>
        </w:rPr>
        <w:t>Sala das Comissões, em 08 de novembro de 2022.</w:t>
      </w:r>
    </w:p>
    <w:p w:rsidR="00237F2C" w:rsidRDefault="00785DB4">
      <w:pPr>
        <w:pStyle w:val="Corpodetexto"/>
        <w:spacing w:line="240" w:lineRule="auto"/>
      </w:pPr>
      <w:r>
        <w:br/>
      </w:r>
    </w:p>
    <w:p w:rsidR="00237F2C" w:rsidRDefault="00237F2C">
      <w:pPr>
        <w:jc w:val="center"/>
        <w:rPr>
          <w:rFonts w:cs="Arial"/>
          <w:b/>
          <w:bCs/>
          <w:color w:val="000000"/>
          <w:u w:val="single"/>
          <w:shd w:val="clear" w:color="auto" w:fill="FFFFFF"/>
        </w:rPr>
      </w:pPr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COMISSÃO DE </w:t>
      </w: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JUSTIÇA E REDAÇÃO</w:t>
      </w:r>
    </w:p>
    <w:p w:rsidR="00237F2C" w:rsidRDefault="00785DB4">
      <w:pPr>
        <w:spacing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 w:rsidR="00237F2C" w:rsidRDefault="00237F2C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JOÃO VICTOR GASPARINI</w:t>
      </w:r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 xml:space="preserve">Presidente </w:t>
      </w:r>
    </w:p>
    <w:p w:rsidR="00237F2C" w:rsidRDefault="00237F2C">
      <w:pPr>
        <w:jc w:val="center"/>
        <w:rPr>
          <w:rFonts w:ascii="Calibri" w:hAnsi="Calibri"/>
          <w:sz w:val="26"/>
          <w:szCs w:val="26"/>
        </w:rPr>
      </w:pPr>
    </w:p>
    <w:p w:rsidR="00237F2C" w:rsidRDefault="00237F2C">
      <w:pPr>
        <w:spacing w:after="240"/>
        <w:rPr>
          <w:rFonts w:ascii="Calibri" w:hAnsi="Calibri"/>
          <w:sz w:val="26"/>
          <w:szCs w:val="26"/>
        </w:rPr>
      </w:pPr>
    </w:p>
    <w:p w:rsidR="00237F2C" w:rsidRDefault="00237F2C">
      <w:pPr>
        <w:spacing w:after="240"/>
        <w:rPr>
          <w:rFonts w:ascii="Calibri" w:hAnsi="Calibri"/>
          <w:sz w:val="26"/>
          <w:szCs w:val="26"/>
        </w:rPr>
      </w:pPr>
      <w:bookmarkStart w:id="2" w:name="_GoBack"/>
      <w:bookmarkEnd w:id="2"/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MARA CRISTINA CHOQUETTA</w:t>
      </w:r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>Vice – presidente/relatora</w:t>
      </w:r>
    </w:p>
    <w:p w:rsidR="00237F2C" w:rsidRDefault="00237F2C">
      <w:pPr>
        <w:spacing w:after="240"/>
        <w:rPr>
          <w:rFonts w:ascii="Calibri" w:hAnsi="Calibri"/>
          <w:sz w:val="26"/>
          <w:szCs w:val="26"/>
        </w:rPr>
      </w:pPr>
    </w:p>
    <w:p w:rsidR="00237F2C" w:rsidRDefault="00237F2C">
      <w:pPr>
        <w:spacing w:after="240"/>
        <w:rPr>
          <w:rFonts w:ascii="Calibri" w:hAnsi="Calibri"/>
          <w:sz w:val="26"/>
          <w:szCs w:val="26"/>
        </w:rPr>
      </w:pPr>
    </w:p>
    <w:p w:rsidR="00237F2C" w:rsidRDefault="00237F2C">
      <w:pPr>
        <w:spacing w:after="240"/>
        <w:rPr>
          <w:rFonts w:ascii="Calibri" w:hAnsi="Calibri"/>
          <w:sz w:val="26"/>
          <w:szCs w:val="26"/>
        </w:rPr>
      </w:pPr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proofErr w:type="gramStart"/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 DRA.</w:t>
      </w:r>
      <w:proofErr w:type="gramEnd"/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LÚCIA MARIA FERREIRA TENÓRIO</w:t>
      </w:r>
    </w:p>
    <w:p w:rsidR="00237F2C" w:rsidRDefault="00785DB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>Membro </w:t>
      </w:r>
    </w:p>
    <w:p w:rsidR="00237F2C" w:rsidRDefault="00237F2C">
      <w:pPr>
        <w:spacing w:before="240" w:after="240"/>
        <w:ind w:firstLine="720"/>
        <w:contextualSpacing/>
        <w:jc w:val="center"/>
        <w:rPr>
          <w:rFonts w:ascii="Calibri" w:hAnsi="Calibri"/>
          <w:sz w:val="26"/>
          <w:szCs w:val="26"/>
        </w:rPr>
      </w:pPr>
    </w:p>
    <w:sectPr w:rsidR="00237F2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B4" w:rsidRDefault="00785DB4">
      <w:r>
        <w:separator/>
      </w:r>
    </w:p>
  </w:endnote>
  <w:endnote w:type="continuationSeparator" w:id="0">
    <w:p w:rsidR="00785DB4" w:rsidRDefault="0078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2C" w:rsidRDefault="00785DB4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8549AE">
      <w:rPr>
        <w:rFonts w:ascii="Bookman Old Style" w:hAnsi="Bookman Old Style"/>
        <w:b/>
        <w:noProof/>
        <w:sz w:val="18"/>
      </w:rPr>
      <w:t>8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B4" w:rsidRDefault="00785DB4">
      <w:r>
        <w:separator/>
      </w:r>
    </w:p>
  </w:footnote>
  <w:footnote w:type="continuationSeparator" w:id="0">
    <w:p w:rsidR="00785DB4" w:rsidRDefault="0078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2C" w:rsidRDefault="00785DB4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37F2C" w:rsidRDefault="00785DB4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A17B76A" id="Quadro1" o:spid="_x0000_s1026" style="position:absolute;margin-left:-50.05pt;margin-top:.05pt;width:1.15pt;height:1.1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237F2C" w:rsidRDefault="00785DB4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2C" w:rsidRDefault="00785D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568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37F2C" w:rsidRDefault="00237F2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A17B76E" id="Quadro2" o:spid="_x0000_s1027" style="position:absolute;left:0;text-align:left;margin-left:-50.05pt;margin-top:.05pt;width:1.15pt;height:11.4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DmBsK3&#10;4AEAACM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237F2C" w:rsidRDefault="00237F2C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237F2C" w:rsidRDefault="00785D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237F2C" w:rsidRDefault="00237F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237F2C" w:rsidRDefault="00237F2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2C" w:rsidRDefault="00785D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670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37F2C" w:rsidRDefault="00237F2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A17B76E" id="_x0000_s1028" style="position:absolute;left:0;text-align:left;margin-left:-50.05pt;margin-top:.05pt;width:1.15pt;height:11.45pt;z-index:-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AX1DBa&#10;4AEAACM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237F2C" w:rsidRDefault="00237F2C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237F2C" w:rsidRDefault="00785D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237F2C" w:rsidRDefault="00237F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237F2C" w:rsidRDefault="00237F2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2C"/>
    <w:rsid w:val="00237F2C"/>
    <w:rsid w:val="00785DB4"/>
    <w:rsid w:val="0085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46D42-DF18-4C8B-8C02-476F0E84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Fontepargpadro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qFormat/>
    <w:rsid w:val="005101CC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PargrafodaLista">
    <w:name w:val="List Paragraph"/>
    <w:basedOn w:val="Normal"/>
    <w:uiPriority w:val="34"/>
    <w:qFormat/>
    <w:rsid w:val="008C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DF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02E3-2476-43F7-BD3B-1392D228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2423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Juliana</cp:lastModifiedBy>
  <cp:revision>2</cp:revision>
  <cp:lastPrinted>2022-11-08T13:52:00Z</cp:lastPrinted>
  <dcterms:created xsi:type="dcterms:W3CDTF">2022-11-22T18:10:00Z</dcterms:created>
  <dcterms:modified xsi:type="dcterms:W3CDTF">2022-11-22T18:10:00Z</dcterms:modified>
  <dc:language>pt-BR</dc:language>
</cp:coreProperties>
</file>