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i w:val="0"/>
          <w:smallCaps w:val="0"/>
          <w:strike w:val="0"/>
          <w:color w:val="000000"/>
          <w:sz w:val="26"/>
          <w:szCs w:val="26"/>
          <w:u w:val="none"/>
          <w:shd w:fill="auto" w:val="clear"/>
          <w:vertAlign w:val="baseline"/>
          <w:rtl w:val="0"/>
        </w:rPr>
        <w:t xml:space="preserve">RELATÓRIO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Projeto de Lei n.º </w:t>
      </w:r>
      <w:r w:rsidDel="00000000" w:rsidR="00000000" w:rsidRPr="00000000">
        <w:rPr>
          <w:b w:val="1"/>
          <w:sz w:val="26"/>
          <w:szCs w:val="26"/>
          <w:rtl w:val="0"/>
        </w:rPr>
        <w:t xml:space="preserve">136 </w:t>
      </w:r>
      <w:r w:rsidDel="00000000" w:rsidR="00000000" w:rsidRPr="00000000">
        <w:rPr>
          <w:b w:val="1"/>
          <w:i w:val="0"/>
          <w:smallCaps w:val="0"/>
          <w:strike w:val="0"/>
          <w:color w:val="000000"/>
          <w:sz w:val="26"/>
          <w:szCs w:val="26"/>
          <w:u w:val="none"/>
          <w:shd w:fill="auto" w:val="clear"/>
          <w:vertAlign w:val="baseline"/>
          <w:rtl w:val="0"/>
        </w:rPr>
        <w:t xml:space="preserve">de 202</w:t>
      </w:r>
      <w:r w:rsidDel="00000000" w:rsidR="00000000" w:rsidRPr="00000000">
        <w:rPr>
          <w:b w:val="1"/>
          <w:sz w:val="26"/>
          <w:szCs w:val="26"/>
          <w:rtl w:val="0"/>
        </w:rPr>
        <w:t xml:space="preserve">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Processo nº </w:t>
      </w:r>
      <w:r w:rsidDel="00000000" w:rsidR="00000000" w:rsidRPr="00000000">
        <w:rPr>
          <w:b w:val="1"/>
          <w:sz w:val="26"/>
          <w:szCs w:val="26"/>
          <w:rtl w:val="0"/>
        </w:rPr>
        <w:t xml:space="preserve">208</w:t>
      </w:r>
      <w:r w:rsidDel="00000000" w:rsidR="00000000" w:rsidRPr="00000000">
        <w:rPr>
          <w:b w:val="1"/>
          <w:i w:val="0"/>
          <w:smallCaps w:val="0"/>
          <w:strike w:val="0"/>
          <w:color w:val="000000"/>
          <w:sz w:val="26"/>
          <w:szCs w:val="26"/>
          <w:u w:val="none"/>
          <w:shd w:fill="auto" w:val="clear"/>
          <w:vertAlign w:val="baseline"/>
          <w:rtl w:val="0"/>
        </w:rPr>
        <w:t xml:space="preserve"> de 202</w:t>
      </w:r>
      <w:r w:rsidDel="00000000" w:rsidR="00000000" w:rsidRPr="00000000">
        <w:rPr>
          <w:b w:val="1"/>
          <w:sz w:val="26"/>
          <w:szCs w:val="26"/>
          <w:rtl w:val="0"/>
        </w:rPr>
        <w:t xml:space="preserve">2</w:t>
      </w:r>
      <w:r w:rsidDel="00000000" w:rsidR="00000000" w:rsidRPr="00000000">
        <w:rPr>
          <w:rtl w:val="0"/>
        </w:rPr>
      </w:r>
    </w:p>
    <w:p w:rsidR="00000000" w:rsidDel="00000000" w:rsidP="00000000" w:rsidRDefault="00000000" w:rsidRPr="00000000" w14:paraId="00000006">
      <w:pPr>
        <w:spacing w:line="276" w:lineRule="auto"/>
        <w:jc w:val="both"/>
        <w:rPr>
          <w:b w:val="1"/>
          <w:sz w:val="26"/>
          <w:szCs w:val="26"/>
        </w:rPr>
      </w:pPr>
      <w:r w:rsidDel="00000000" w:rsidR="00000000" w:rsidRPr="00000000">
        <w:rPr>
          <w:b w:val="1"/>
          <w:sz w:val="26"/>
          <w:szCs w:val="26"/>
          <w:rtl w:val="0"/>
        </w:rPr>
        <w:t xml:space="preserve">Autora: Vereadora Sonia Regina Rodrigues</w:t>
      </w:r>
      <w:r w:rsidDel="00000000" w:rsidR="00000000" w:rsidRPr="00000000">
        <w:rPr>
          <w:rtl w:val="0"/>
        </w:rPr>
      </w:r>
    </w:p>
    <w:p w:rsidR="00000000" w:rsidDel="00000000" w:rsidP="00000000" w:rsidRDefault="00000000" w:rsidRPr="00000000" w14:paraId="00000007">
      <w:pPr>
        <w:spacing w:line="276" w:lineRule="auto"/>
        <w:jc w:val="both"/>
        <w:rPr>
          <w:sz w:val="26"/>
          <w:szCs w:val="26"/>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6"/>
          <w:szCs w:val="26"/>
        </w:rPr>
      </w:pPr>
      <w:r w:rsidDel="00000000" w:rsidR="00000000" w:rsidRPr="00000000">
        <w:rPr>
          <w:b w:val="1"/>
          <w:i w:val="0"/>
          <w:smallCaps w:val="0"/>
          <w:strike w:val="0"/>
          <w:color w:val="000000"/>
          <w:sz w:val="26"/>
          <w:szCs w:val="26"/>
          <w:u w:val="none"/>
          <w:shd w:fill="auto" w:val="clear"/>
          <w:vertAlign w:val="baseline"/>
          <w:rtl w:val="0"/>
        </w:rPr>
        <w:t xml:space="preserve">I. Exposição da Matéria</w:t>
      </w:r>
      <w:r w:rsidDel="00000000" w:rsidR="00000000" w:rsidRPr="00000000">
        <w:rPr>
          <w:rtl w:val="0"/>
        </w:rPr>
      </w:r>
    </w:p>
    <w:p w:rsidR="00000000" w:rsidDel="00000000" w:rsidP="00000000" w:rsidRDefault="00000000" w:rsidRPr="00000000" w14:paraId="00000009">
      <w:pPr>
        <w:spacing w:line="276" w:lineRule="auto"/>
        <w:ind w:firstLine="709"/>
        <w:jc w:val="both"/>
        <w:rPr>
          <w:sz w:val="26"/>
          <w:szCs w:val="26"/>
        </w:rPr>
      </w:pPr>
      <w:r w:rsidDel="00000000" w:rsidR="00000000" w:rsidRPr="00000000">
        <w:rPr>
          <w:sz w:val="26"/>
          <w:szCs w:val="26"/>
          <w:rtl w:val="0"/>
        </w:rPr>
        <w:t xml:space="preserve">A Nobre Vereadora Sonia Regina Rodrigues protocolou nesta Casa de Leis o Projeto de Lei n° 136 de 2022, que </w:t>
      </w:r>
      <w:r w:rsidDel="00000000" w:rsidR="00000000" w:rsidRPr="00000000">
        <w:rPr>
          <w:b w:val="1"/>
          <w:sz w:val="26"/>
          <w:szCs w:val="26"/>
          <w:rtl w:val="0"/>
        </w:rPr>
        <w:t xml:space="preserve">“</w:t>
      </w:r>
      <w:r w:rsidDel="00000000" w:rsidR="00000000" w:rsidRPr="00000000">
        <w:rPr>
          <w:b w:val="1"/>
          <w:sz w:val="26"/>
          <w:szCs w:val="26"/>
          <w:rtl w:val="0"/>
        </w:rPr>
        <w:t xml:space="preserve">Cria o Programa Municipal de Combate à Fome nos períodos de férias escolares de crianças, de adolescentes e de jovens matriculados nas escolas da rede pública municipal de ensino, e dá outras providências</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0A">
      <w:pPr>
        <w:spacing w:line="276" w:lineRule="auto"/>
        <w:ind w:firstLine="709"/>
        <w:jc w:val="both"/>
        <w:rPr>
          <w:sz w:val="26"/>
          <w:szCs w:val="26"/>
        </w:rPr>
      </w:pPr>
      <w:r w:rsidDel="00000000" w:rsidR="00000000" w:rsidRPr="00000000">
        <w:rPr>
          <w:sz w:val="26"/>
          <w:szCs w:val="26"/>
          <w:rtl w:val="0"/>
        </w:rPr>
        <w:t xml:space="preserve">A Propositura em análise visa garantir o direito à alimentação escolar no período de férias escolares, para crianças, adolescentes e jovens em situação de pobreza e extrema pobreza, matriculados nos estabelecimentos de ensino da rede pública municipal.</w:t>
      </w:r>
    </w:p>
    <w:p w:rsidR="00000000" w:rsidDel="00000000" w:rsidP="00000000" w:rsidRDefault="00000000" w:rsidRPr="00000000" w14:paraId="0000000B">
      <w:pPr>
        <w:spacing w:line="276" w:lineRule="auto"/>
        <w:ind w:firstLine="709"/>
        <w:jc w:val="both"/>
        <w:rPr>
          <w:sz w:val="26"/>
          <w:szCs w:val="26"/>
        </w:rPr>
      </w:pPr>
      <w:r w:rsidDel="00000000" w:rsidR="00000000" w:rsidRPr="00000000">
        <w:rPr>
          <w:sz w:val="26"/>
          <w:szCs w:val="26"/>
          <w:rtl w:val="0"/>
        </w:rPr>
        <w:t xml:space="preserve">A autora do projeto justifica que </w:t>
      </w:r>
      <w:r w:rsidDel="00000000" w:rsidR="00000000" w:rsidRPr="00000000">
        <w:rPr>
          <w:i w:val="1"/>
          <w:sz w:val="26"/>
          <w:szCs w:val="26"/>
          <w:rtl w:val="0"/>
        </w:rPr>
        <w:t xml:space="preserve">“é mister que haja políticas públicas para este público em situação de vulnerabilidade social que não possuem, nos períodos de férias escolares, renda para garantir a sua alimentação, resguardando estes cidadãos da dor da fome e afastando-os da violência.” </w:t>
      </w:r>
      <w:r w:rsidDel="00000000" w:rsidR="00000000" w:rsidRPr="00000000">
        <w:rPr>
          <w:sz w:val="26"/>
          <w:szCs w:val="26"/>
          <w:rtl w:val="0"/>
        </w:rPr>
        <w:t xml:space="preserve">A autora ainda conclui que os dispositivos do artigo 1° e 6° da Constituição Federal não devem ser apenas “mera formalidade” ou de um mandamento inócuo, tratam-se de efetiva e essenciais políticas públicas que garantam a dignidade de todo cidadão em qualquer situação.</w:t>
      </w:r>
    </w:p>
    <w:p w:rsidR="00000000" w:rsidDel="00000000" w:rsidP="00000000" w:rsidRDefault="00000000" w:rsidRPr="00000000" w14:paraId="0000000C">
      <w:pPr>
        <w:spacing w:line="276" w:lineRule="auto"/>
        <w:jc w:val="both"/>
        <w:rPr>
          <w:b w:val="1"/>
          <w:sz w:val="26"/>
          <w:szCs w:val="26"/>
        </w:rPr>
      </w:pPr>
      <w:r w:rsidDel="00000000" w:rsidR="00000000" w:rsidRPr="00000000">
        <w:rPr>
          <w:sz w:val="26"/>
          <w:szCs w:val="26"/>
          <w:rtl w:val="0"/>
        </w:rPr>
        <w:tab/>
      </w:r>
      <w:r w:rsidDel="00000000" w:rsidR="00000000" w:rsidRPr="00000000">
        <w:rPr>
          <w:rtl w:val="0"/>
        </w:rPr>
      </w:r>
    </w:p>
    <w:p w:rsidR="00000000" w:rsidDel="00000000" w:rsidP="00000000" w:rsidRDefault="00000000" w:rsidRPr="00000000" w14:paraId="0000000D">
      <w:pPr>
        <w:spacing w:line="276" w:lineRule="auto"/>
        <w:jc w:val="both"/>
        <w:rPr>
          <w:sz w:val="26"/>
          <w:szCs w:val="26"/>
        </w:rPr>
      </w:pPr>
      <w:r w:rsidDel="00000000" w:rsidR="00000000" w:rsidRPr="00000000">
        <w:rPr>
          <w:b w:val="1"/>
          <w:sz w:val="26"/>
          <w:szCs w:val="26"/>
          <w:rtl w:val="0"/>
        </w:rPr>
        <w:t xml:space="preserve">II. Do mérito e conclusões do relator</w:t>
      </w:r>
      <w:r w:rsidDel="00000000" w:rsidR="00000000" w:rsidRPr="00000000">
        <w:rPr>
          <w:sz w:val="26"/>
          <w:szCs w:val="26"/>
          <w:rtl w:val="0"/>
        </w:rPr>
        <w:t xml:space="preserve"> </w:t>
      </w:r>
    </w:p>
    <w:p w:rsidR="00000000" w:rsidDel="00000000" w:rsidP="00000000" w:rsidRDefault="00000000" w:rsidRPr="00000000" w14:paraId="0000000E">
      <w:pPr>
        <w:spacing w:line="276" w:lineRule="auto"/>
        <w:ind w:firstLine="709"/>
        <w:jc w:val="both"/>
        <w:rPr>
          <w:sz w:val="26"/>
          <w:szCs w:val="26"/>
        </w:rPr>
      </w:pPr>
      <w:r w:rsidDel="00000000" w:rsidR="00000000" w:rsidRPr="00000000">
        <w:rPr>
          <w:sz w:val="26"/>
          <w:szCs w:val="26"/>
          <w:rtl w:val="0"/>
        </w:rPr>
        <w:t xml:space="preserve">Cumpre destacar que a Comissão de Justiça e Redação requereu parecer da SGP - Soluções em Gestão Pública - para análise técnico-jurídico da matéria, gerando a CONSULTA/0444/2022/MN/G de 27 de outubro de 2022, com apontamentos nos quais discorreremos neste relatório. </w:t>
      </w:r>
      <w:r w:rsidDel="00000000" w:rsidR="00000000" w:rsidRPr="00000000">
        <w:rPr>
          <w:rtl w:val="0"/>
        </w:rPr>
      </w:r>
    </w:p>
    <w:p w:rsidR="00000000" w:rsidDel="00000000" w:rsidP="00000000" w:rsidRDefault="00000000" w:rsidRPr="00000000" w14:paraId="0000000F">
      <w:pPr>
        <w:spacing w:line="276" w:lineRule="auto"/>
        <w:ind w:firstLine="709"/>
        <w:jc w:val="both"/>
        <w:rPr>
          <w:sz w:val="26"/>
          <w:szCs w:val="26"/>
        </w:rPr>
      </w:pPr>
      <w:r w:rsidDel="00000000" w:rsidR="00000000" w:rsidRPr="00000000">
        <w:rPr>
          <w:sz w:val="26"/>
          <w:szCs w:val="26"/>
          <w:rtl w:val="0"/>
        </w:rPr>
        <w:t xml:space="preserve">Inicialmente, a matéria não encontra óbices legais, estando amparada no art. 12, inciso I e II da Lei Orgânica do Município de Mogi Mirim. Neste mesmo sentido,  artigo 30, inciso I, da Carta Magna, permite que o Município edite leis sempre que a questão social envolve algum interesse local, como é o caso em comento. Destaca-se também que o inciso II do mesmo artigo prevê a autonomia municipal em suplementar a legislação federal e estadual:</w:t>
      </w:r>
    </w:p>
    <w:p w:rsidR="00000000" w:rsidDel="00000000" w:rsidP="00000000" w:rsidRDefault="00000000" w:rsidRPr="00000000" w14:paraId="00000010">
      <w:pPr>
        <w:shd w:fill="ffffff" w:val="clear"/>
        <w:spacing w:after="200" w:before="200" w:line="276" w:lineRule="auto"/>
        <w:ind w:left="3600" w:firstLine="720"/>
        <w:jc w:val="both"/>
        <w:rPr>
          <w:i w:val="1"/>
          <w:sz w:val="26"/>
          <w:szCs w:val="26"/>
        </w:rPr>
      </w:pPr>
      <w:r w:rsidDel="00000000" w:rsidR="00000000" w:rsidRPr="00000000">
        <w:rPr>
          <w:i w:val="1"/>
          <w:sz w:val="26"/>
          <w:szCs w:val="26"/>
          <w:rtl w:val="0"/>
        </w:rPr>
        <w:t xml:space="preserve">“Art. 30. Compete aos Municípios:</w:t>
      </w:r>
    </w:p>
    <w:p w:rsidR="00000000" w:rsidDel="00000000" w:rsidP="00000000" w:rsidRDefault="00000000" w:rsidRPr="00000000" w14:paraId="00000011">
      <w:pPr>
        <w:shd w:fill="ffffff" w:val="clear"/>
        <w:spacing w:after="200" w:before="200" w:line="276" w:lineRule="auto"/>
        <w:ind w:left="3600" w:firstLine="720"/>
        <w:jc w:val="both"/>
        <w:rPr>
          <w:i w:val="1"/>
          <w:sz w:val="26"/>
          <w:szCs w:val="26"/>
        </w:rPr>
      </w:pPr>
      <w:r w:rsidDel="00000000" w:rsidR="00000000" w:rsidRPr="00000000">
        <w:rPr>
          <w:i w:val="1"/>
          <w:sz w:val="26"/>
          <w:szCs w:val="26"/>
          <w:rtl w:val="0"/>
        </w:rPr>
        <w:t xml:space="preserve">I - legislar sobre assuntos de interesse local;</w:t>
      </w:r>
    </w:p>
    <w:p w:rsidR="00000000" w:rsidDel="00000000" w:rsidP="00000000" w:rsidRDefault="00000000" w:rsidRPr="00000000" w14:paraId="00000012">
      <w:pPr>
        <w:shd w:fill="ffffff" w:val="clear"/>
        <w:spacing w:after="200" w:before="200" w:line="276" w:lineRule="auto"/>
        <w:ind w:left="3600" w:firstLine="720"/>
        <w:jc w:val="both"/>
        <w:rPr>
          <w:i w:val="1"/>
          <w:sz w:val="26"/>
          <w:szCs w:val="26"/>
        </w:rPr>
      </w:pPr>
      <w:r w:rsidDel="00000000" w:rsidR="00000000" w:rsidRPr="00000000">
        <w:rPr>
          <w:i w:val="1"/>
          <w:sz w:val="26"/>
          <w:szCs w:val="26"/>
          <w:highlight w:val="white"/>
          <w:rtl w:val="0"/>
        </w:rPr>
        <w:t xml:space="preserve">II - suplementar a legislação federal e a estadual no que couber;</w:t>
      </w:r>
      <w:r w:rsidDel="00000000" w:rsidR="00000000" w:rsidRPr="00000000">
        <w:rPr>
          <w:i w:val="1"/>
          <w:sz w:val="26"/>
          <w:szCs w:val="26"/>
          <w:rtl w:val="0"/>
        </w:rPr>
        <w:t xml:space="preserve">”</w:t>
      </w:r>
    </w:p>
    <w:p w:rsidR="00000000" w:rsidDel="00000000" w:rsidP="00000000" w:rsidRDefault="00000000" w:rsidRPr="00000000" w14:paraId="00000013">
      <w:pPr>
        <w:shd w:fill="ffffff" w:val="clear"/>
        <w:spacing w:after="200" w:before="200" w:line="276" w:lineRule="auto"/>
        <w:ind w:left="0" w:firstLine="0"/>
        <w:jc w:val="both"/>
        <w:rPr>
          <w:sz w:val="26"/>
          <w:szCs w:val="26"/>
        </w:rPr>
      </w:pPr>
      <w:r w:rsidDel="00000000" w:rsidR="00000000" w:rsidRPr="00000000">
        <w:rPr>
          <w:sz w:val="26"/>
          <w:szCs w:val="26"/>
          <w:rtl w:val="0"/>
        </w:rPr>
        <w:tab/>
        <w:t xml:space="preserve">Deve-se considerar ainda que a Carta Magna, em seu artigo 6° que fala sobre os direitos sociais, enquadra a alimentação e a assistência aos desamparados como um direito. Ora, se há alunos matriculados na rede municipal de ensino que estão em situação de extrema pobreza, com dificuldades de alimentação, cabe ao poder público agir para dar assistência a estes que sofrem. Vejamos o que diz o art. 6° da Constituição Federal:</w:t>
      </w:r>
    </w:p>
    <w:p w:rsidR="00000000" w:rsidDel="00000000" w:rsidP="00000000" w:rsidRDefault="00000000" w:rsidRPr="00000000" w14:paraId="00000014">
      <w:pPr>
        <w:shd w:fill="ffffff" w:val="clear"/>
        <w:spacing w:after="200" w:before="200" w:line="276" w:lineRule="auto"/>
        <w:ind w:left="3600" w:firstLine="720"/>
        <w:jc w:val="both"/>
        <w:rPr>
          <w:i w:val="1"/>
          <w:sz w:val="26"/>
          <w:szCs w:val="26"/>
          <w:highlight w:val="white"/>
        </w:rPr>
      </w:pPr>
      <w:r w:rsidDel="00000000" w:rsidR="00000000" w:rsidRPr="00000000">
        <w:rPr>
          <w:i w:val="1"/>
          <w:sz w:val="26"/>
          <w:szCs w:val="26"/>
          <w:highlight w:val="white"/>
          <w:rtl w:val="0"/>
        </w:rPr>
        <w:t xml:space="preserve">“</w:t>
      </w:r>
      <w:r w:rsidDel="00000000" w:rsidR="00000000" w:rsidRPr="00000000">
        <w:rPr>
          <w:i w:val="1"/>
          <w:sz w:val="26"/>
          <w:szCs w:val="26"/>
          <w:highlight w:val="white"/>
          <w:rtl w:val="0"/>
        </w:rPr>
        <w:t xml:space="preserve">Art. 6º São direitos sociais a educação, a saúde, a alimentação, o trabalho, a moradia, o transporte, o lazer, a segurança, a previdência social, a proteção à maternidade e à infância, a assistência aos desamparados, na forma desta Constituição.” </w:t>
      </w:r>
    </w:p>
    <w:p w:rsidR="00000000" w:rsidDel="00000000" w:rsidP="00000000" w:rsidRDefault="00000000" w:rsidRPr="00000000" w14:paraId="00000015">
      <w:pPr>
        <w:shd w:fill="ffffff" w:val="clear"/>
        <w:spacing w:after="200" w:before="200" w:line="276" w:lineRule="auto"/>
        <w:ind w:left="0" w:firstLine="0"/>
        <w:jc w:val="both"/>
        <w:rPr>
          <w:sz w:val="26"/>
          <w:szCs w:val="26"/>
          <w:highlight w:val="white"/>
        </w:rPr>
      </w:pPr>
      <w:r w:rsidDel="00000000" w:rsidR="00000000" w:rsidRPr="00000000">
        <w:rPr>
          <w:i w:val="1"/>
          <w:sz w:val="26"/>
          <w:szCs w:val="26"/>
          <w:highlight w:val="white"/>
          <w:rtl w:val="0"/>
        </w:rPr>
        <w:tab/>
      </w:r>
      <w:r w:rsidDel="00000000" w:rsidR="00000000" w:rsidRPr="00000000">
        <w:rPr>
          <w:sz w:val="26"/>
          <w:szCs w:val="26"/>
          <w:highlight w:val="white"/>
          <w:rtl w:val="0"/>
        </w:rPr>
        <w:t xml:space="preserve">Da mesma forma, a Carta da República, em seu artigo 208, delega como dever do Estado com a educação, por meio de programas suplementares, o atendimento ao estudante em Todas as etapas da educação básica, inclusive com a alimentação:</w:t>
      </w:r>
    </w:p>
    <w:p w:rsidR="00000000" w:rsidDel="00000000" w:rsidP="00000000" w:rsidRDefault="00000000" w:rsidRPr="00000000" w14:paraId="00000016">
      <w:pPr>
        <w:shd w:fill="ffffff" w:val="clear"/>
        <w:spacing w:after="200" w:before="200" w:line="276" w:lineRule="auto"/>
        <w:ind w:left="3600" w:firstLine="0"/>
        <w:jc w:val="both"/>
        <w:rPr>
          <w:i w:val="1"/>
          <w:sz w:val="26"/>
          <w:szCs w:val="26"/>
          <w:highlight w:val="white"/>
        </w:rPr>
      </w:pPr>
      <w:r w:rsidDel="00000000" w:rsidR="00000000" w:rsidRPr="00000000">
        <w:rPr>
          <w:i w:val="1"/>
          <w:sz w:val="26"/>
          <w:szCs w:val="26"/>
          <w:highlight w:val="white"/>
          <w:rtl w:val="0"/>
        </w:rPr>
        <w:t xml:space="preserve"> </w:t>
        <w:tab/>
        <w:t xml:space="preserve">“Art. 208. O dever do Estado com a educação será efetivado mediante a garantia de:</w:t>
      </w:r>
    </w:p>
    <w:p w:rsidR="00000000" w:rsidDel="00000000" w:rsidP="00000000" w:rsidRDefault="00000000" w:rsidRPr="00000000" w14:paraId="00000017">
      <w:pPr>
        <w:shd w:fill="ffffff" w:val="clear"/>
        <w:spacing w:after="200" w:before="200" w:line="276" w:lineRule="auto"/>
        <w:ind w:left="3600" w:firstLine="720"/>
        <w:jc w:val="both"/>
        <w:rPr>
          <w:i w:val="1"/>
          <w:sz w:val="26"/>
          <w:szCs w:val="26"/>
          <w:highlight w:val="white"/>
        </w:rPr>
      </w:pPr>
      <w:r w:rsidDel="00000000" w:rsidR="00000000" w:rsidRPr="00000000">
        <w:rPr>
          <w:i w:val="1"/>
          <w:sz w:val="26"/>
          <w:szCs w:val="26"/>
          <w:highlight w:val="white"/>
          <w:rtl w:val="0"/>
        </w:rPr>
        <w:t xml:space="preserve">VII - atendimento ao educando, </w:t>
      </w:r>
      <w:r w:rsidDel="00000000" w:rsidR="00000000" w:rsidRPr="00000000">
        <w:rPr>
          <w:i w:val="1"/>
          <w:sz w:val="26"/>
          <w:szCs w:val="26"/>
          <w:highlight w:val="white"/>
          <w:u w:val="single"/>
          <w:rtl w:val="0"/>
        </w:rPr>
        <w:t xml:space="preserve">em todas as etapas da educação básica</w:t>
      </w:r>
      <w:r w:rsidDel="00000000" w:rsidR="00000000" w:rsidRPr="00000000">
        <w:rPr>
          <w:i w:val="1"/>
          <w:sz w:val="26"/>
          <w:szCs w:val="26"/>
          <w:highlight w:val="white"/>
          <w:rtl w:val="0"/>
        </w:rPr>
        <w:t xml:space="preserve">, por meio de programas suplementares de material didático escolar, transporte, </w:t>
      </w:r>
      <w:r w:rsidDel="00000000" w:rsidR="00000000" w:rsidRPr="00000000">
        <w:rPr>
          <w:i w:val="1"/>
          <w:sz w:val="26"/>
          <w:szCs w:val="26"/>
          <w:highlight w:val="white"/>
          <w:u w:val="single"/>
          <w:rtl w:val="0"/>
        </w:rPr>
        <w:t xml:space="preserve">alimentação</w:t>
      </w:r>
      <w:r w:rsidDel="00000000" w:rsidR="00000000" w:rsidRPr="00000000">
        <w:rPr>
          <w:i w:val="1"/>
          <w:sz w:val="26"/>
          <w:szCs w:val="26"/>
          <w:highlight w:val="white"/>
          <w:rtl w:val="0"/>
        </w:rPr>
        <w:t xml:space="preserve"> e assistência à saúde.”  (nosso grifo).</w:t>
      </w:r>
    </w:p>
    <w:p w:rsidR="00000000" w:rsidDel="00000000" w:rsidP="00000000" w:rsidRDefault="00000000" w:rsidRPr="00000000" w14:paraId="00000018">
      <w:pPr>
        <w:shd w:fill="ffffff" w:val="clear"/>
        <w:spacing w:after="200" w:before="200" w:line="276" w:lineRule="auto"/>
        <w:ind w:left="0" w:firstLine="0"/>
        <w:jc w:val="both"/>
        <w:rPr>
          <w:sz w:val="26"/>
          <w:szCs w:val="26"/>
          <w:highlight w:val="white"/>
        </w:rPr>
      </w:pPr>
      <w:r w:rsidDel="00000000" w:rsidR="00000000" w:rsidRPr="00000000">
        <w:rPr>
          <w:sz w:val="26"/>
          <w:szCs w:val="26"/>
          <w:highlight w:val="white"/>
          <w:rtl w:val="0"/>
        </w:rPr>
        <w:tab/>
        <w:t xml:space="preserve">Neste mesmo sentido, a Lei Orgânica do Município de Mogi Mirim, em seu artigo 112, inciso II, institui como dever do Município em cooperação com o Estado o atendimento da alimentação aos alunos da educação básica, vide:</w:t>
      </w:r>
    </w:p>
    <w:p w:rsidR="00000000" w:rsidDel="00000000" w:rsidP="00000000" w:rsidRDefault="00000000" w:rsidRPr="00000000" w14:paraId="00000019">
      <w:pPr>
        <w:shd w:fill="ffffff" w:val="clear"/>
        <w:spacing w:after="200" w:before="200" w:line="276" w:lineRule="auto"/>
        <w:ind w:left="3600" w:firstLine="720"/>
        <w:jc w:val="both"/>
        <w:rPr>
          <w:i w:val="1"/>
          <w:sz w:val="26"/>
          <w:szCs w:val="26"/>
          <w:highlight w:val="white"/>
        </w:rPr>
      </w:pPr>
      <w:r w:rsidDel="00000000" w:rsidR="00000000" w:rsidRPr="00000000">
        <w:rPr>
          <w:i w:val="1"/>
          <w:sz w:val="26"/>
          <w:szCs w:val="26"/>
          <w:highlight w:val="white"/>
          <w:rtl w:val="0"/>
        </w:rPr>
        <w:t xml:space="preserve">“Art. 212. O dever do Município com a educação básica, em cooperação com o Estado, será efetivado mediante a garantia de: </w:t>
      </w:r>
    </w:p>
    <w:p w:rsidR="00000000" w:rsidDel="00000000" w:rsidP="00000000" w:rsidRDefault="00000000" w:rsidRPr="00000000" w14:paraId="0000001A">
      <w:pPr>
        <w:shd w:fill="ffffff" w:val="clear"/>
        <w:spacing w:after="200" w:before="200" w:line="276" w:lineRule="auto"/>
        <w:ind w:left="3600" w:firstLine="720"/>
        <w:jc w:val="both"/>
        <w:rPr>
          <w:i w:val="1"/>
          <w:sz w:val="26"/>
          <w:szCs w:val="26"/>
          <w:highlight w:val="white"/>
        </w:rPr>
      </w:pPr>
      <w:r w:rsidDel="00000000" w:rsidR="00000000" w:rsidRPr="00000000">
        <w:rPr>
          <w:i w:val="1"/>
          <w:sz w:val="26"/>
          <w:szCs w:val="26"/>
          <w:highlight w:val="white"/>
          <w:rtl w:val="0"/>
        </w:rPr>
        <w:t xml:space="preserve">II – atendimento ao educando, através de programas suplementares de alimentação e assistência à saúde;”</w:t>
      </w:r>
    </w:p>
    <w:p w:rsidR="00000000" w:rsidDel="00000000" w:rsidP="00000000" w:rsidRDefault="00000000" w:rsidRPr="00000000" w14:paraId="0000001B">
      <w:pPr>
        <w:shd w:fill="ffffff" w:val="clear"/>
        <w:spacing w:after="200" w:before="200" w:line="276" w:lineRule="auto"/>
        <w:ind w:left="0" w:firstLine="0"/>
        <w:jc w:val="both"/>
        <w:rPr>
          <w:sz w:val="26"/>
          <w:szCs w:val="26"/>
          <w:highlight w:val="white"/>
        </w:rPr>
      </w:pPr>
      <w:r w:rsidDel="00000000" w:rsidR="00000000" w:rsidRPr="00000000">
        <w:rPr>
          <w:sz w:val="26"/>
          <w:szCs w:val="26"/>
          <w:highlight w:val="white"/>
          <w:rtl w:val="0"/>
        </w:rPr>
        <w:tab/>
        <w:t xml:space="preserve">Ademais, o artigo 248 da LOMM delega como dever da família, da sociedade e do poder público a segurança alimentar, dentre outros direitos, às crianças, idosos e pessoas com deficiência:</w:t>
      </w:r>
    </w:p>
    <w:p w:rsidR="00000000" w:rsidDel="00000000" w:rsidP="00000000" w:rsidRDefault="00000000" w:rsidRPr="00000000" w14:paraId="0000001C">
      <w:pPr>
        <w:shd w:fill="ffffff" w:val="clear"/>
        <w:spacing w:after="200" w:before="200" w:line="276" w:lineRule="auto"/>
        <w:ind w:left="3600" w:firstLine="720"/>
        <w:jc w:val="both"/>
        <w:rPr>
          <w:i w:val="1"/>
          <w:sz w:val="26"/>
          <w:szCs w:val="26"/>
          <w:highlight w:val="white"/>
        </w:rPr>
      </w:pPr>
      <w:r w:rsidDel="00000000" w:rsidR="00000000" w:rsidRPr="00000000">
        <w:rPr>
          <w:i w:val="1"/>
          <w:sz w:val="26"/>
          <w:szCs w:val="26"/>
          <w:highlight w:val="white"/>
          <w:rtl w:val="0"/>
        </w:rPr>
        <w:t xml:space="preserve">“Art. 248. É dever da família, da sociedade e do poder público assegurar </w:t>
      </w:r>
      <w:r w:rsidDel="00000000" w:rsidR="00000000" w:rsidRPr="00000000">
        <w:rPr>
          <w:i w:val="1"/>
          <w:sz w:val="26"/>
          <w:szCs w:val="26"/>
          <w:highlight w:val="white"/>
          <w:u w:val="single"/>
          <w:rtl w:val="0"/>
        </w:rPr>
        <w:t xml:space="preserve">à criança</w:t>
      </w:r>
      <w:r w:rsidDel="00000000" w:rsidR="00000000" w:rsidRPr="00000000">
        <w:rPr>
          <w:i w:val="1"/>
          <w:sz w:val="26"/>
          <w:szCs w:val="26"/>
          <w:highlight w:val="white"/>
          <w:rtl w:val="0"/>
        </w:rPr>
        <w:t xml:space="preserve">, ao adolescente, ao idoso e à pessoa com deficiência, </w:t>
      </w:r>
      <w:r w:rsidDel="00000000" w:rsidR="00000000" w:rsidRPr="00000000">
        <w:rPr>
          <w:i w:val="1"/>
          <w:sz w:val="26"/>
          <w:szCs w:val="26"/>
          <w:highlight w:val="white"/>
          <w:u w:val="single"/>
          <w:rtl w:val="0"/>
        </w:rPr>
        <w:t xml:space="preserve">com absoluta prioridade</w:t>
      </w:r>
      <w:r w:rsidDel="00000000" w:rsidR="00000000" w:rsidRPr="00000000">
        <w:rPr>
          <w:i w:val="1"/>
          <w:sz w:val="26"/>
          <w:szCs w:val="26"/>
          <w:highlight w:val="white"/>
          <w:rtl w:val="0"/>
        </w:rPr>
        <w:t xml:space="preserve">, o direito à vida, à saúde, </w:t>
      </w:r>
      <w:r w:rsidDel="00000000" w:rsidR="00000000" w:rsidRPr="00000000">
        <w:rPr>
          <w:i w:val="1"/>
          <w:sz w:val="26"/>
          <w:szCs w:val="26"/>
          <w:highlight w:val="white"/>
          <w:u w:val="single"/>
          <w:rtl w:val="0"/>
        </w:rPr>
        <w:t xml:space="preserve">à alimentação</w:t>
      </w:r>
      <w:r w:rsidDel="00000000" w:rsidR="00000000" w:rsidRPr="00000000">
        <w:rPr>
          <w:i w:val="1"/>
          <w:sz w:val="26"/>
          <w:szCs w:val="26"/>
          <w:highlight w:val="white"/>
          <w:rtl w:val="0"/>
        </w:rPr>
        <w:t xml:space="preserve">, à educação, ao lazer, à profissionalização, à cultura, à dignidade, ao respeito, à liberdade e à convivência familiar e comunitária, além de colocá-los a salvo de toda forma de negligência, discriminação, exploração, violência, crueldade e agressão.”</w:t>
      </w:r>
    </w:p>
    <w:p w:rsidR="00000000" w:rsidDel="00000000" w:rsidP="00000000" w:rsidRDefault="00000000" w:rsidRPr="00000000" w14:paraId="0000001D">
      <w:pPr>
        <w:shd w:fill="ffffff" w:val="clear"/>
        <w:spacing w:after="200" w:before="200" w:line="276" w:lineRule="auto"/>
        <w:ind w:left="0" w:firstLine="0"/>
        <w:jc w:val="both"/>
        <w:rPr>
          <w:sz w:val="26"/>
          <w:szCs w:val="26"/>
          <w:highlight w:val="white"/>
        </w:rPr>
      </w:pPr>
      <w:r w:rsidDel="00000000" w:rsidR="00000000" w:rsidRPr="00000000">
        <w:rPr>
          <w:sz w:val="26"/>
          <w:szCs w:val="26"/>
          <w:highlight w:val="white"/>
          <w:rtl w:val="0"/>
        </w:rPr>
        <w:tab/>
        <w:t xml:space="preserve">Sendo assim, consideramos que, de forma clara e expressa, o direito à alimentação aos estudantes da educação básica é garantido em todos os entes da federação, logo, não identificamos irregularidades quanto à constitucionalidade da matéria. </w:t>
      </w:r>
      <w:r w:rsidDel="00000000" w:rsidR="00000000" w:rsidRPr="00000000">
        <w:rPr>
          <w:rtl w:val="0"/>
        </w:rPr>
      </w:r>
    </w:p>
    <w:p w:rsidR="00000000" w:rsidDel="00000000" w:rsidP="00000000" w:rsidRDefault="00000000" w:rsidRPr="00000000" w14:paraId="0000001E">
      <w:pPr>
        <w:shd w:fill="ffffff" w:val="clear"/>
        <w:spacing w:after="200" w:before="200" w:line="276" w:lineRule="auto"/>
        <w:ind w:left="0" w:firstLine="0"/>
        <w:jc w:val="both"/>
        <w:rPr>
          <w:sz w:val="26"/>
          <w:szCs w:val="26"/>
          <w:highlight w:val="white"/>
        </w:rPr>
      </w:pPr>
      <w:r w:rsidDel="00000000" w:rsidR="00000000" w:rsidRPr="00000000">
        <w:rPr>
          <w:sz w:val="26"/>
          <w:szCs w:val="26"/>
          <w:highlight w:val="white"/>
          <w:rtl w:val="0"/>
        </w:rPr>
        <w:tab/>
        <w:t xml:space="preserve">Entretanto, com relação à iniciativa do Projeto de Lei em análise, de origem parlamentar, é assunto controverso. Como apontado pela consulta feita através da SGP,  há algumas decisões judiciais desfavoráveis neste sentido, considerando que a iniciativa de leis que delegam a execução de políticas públicas ao Poder Executivo tendo origem no parlamento podem ser consideradas afrontosas ao princípio de separação de poderes. </w:t>
      </w:r>
    </w:p>
    <w:p w:rsidR="00000000" w:rsidDel="00000000" w:rsidP="00000000" w:rsidRDefault="00000000" w:rsidRPr="00000000" w14:paraId="0000001F">
      <w:pPr>
        <w:shd w:fill="ffffff" w:val="clear"/>
        <w:spacing w:after="200" w:before="200" w:line="276" w:lineRule="auto"/>
        <w:ind w:left="0" w:firstLine="0"/>
        <w:jc w:val="both"/>
        <w:rPr>
          <w:sz w:val="26"/>
          <w:szCs w:val="26"/>
          <w:highlight w:val="white"/>
        </w:rPr>
      </w:pPr>
      <w:r w:rsidDel="00000000" w:rsidR="00000000" w:rsidRPr="00000000">
        <w:rPr>
          <w:sz w:val="26"/>
          <w:szCs w:val="26"/>
          <w:highlight w:val="white"/>
          <w:rtl w:val="0"/>
        </w:rPr>
        <w:tab/>
        <w:t xml:space="preserve">Porém, como também apontado pela referida consulta da SGP, há decisão no Tribunal de Justiça de São Paulo que, divergindo de outras, não considera como inconstitucional a iniciativa parlamentar de propor lei que garanta a distribuição de merenda escolar, cesta básica ou cartão alimentação durante o período de férias ou recesso escolar aos alunos  economicamente carentes da rede pública de ensino. </w:t>
      </w:r>
    </w:p>
    <w:p w:rsidR="00000000" w:rsidDel="00000000" w:rsidP="00000000" w:rsidRDefault="00000000" w:rsidRPr="00000000" w14:paraId="00000020">
      <w:pPr>
        <w:shd w:fill="ffffff" w:val="clear"/>
        <w:spacing w:after="200" w:before="200" w:line="276" w:lineRule="auto"/>
        <w:ind w:left="0" w:firstLine="0"/>
        <w:jc w:val="both"/>
        <w:rPr>
          <w:sz w:val="26"/>
          <w:szCs w:val="26"/>
        </w:rPr>
      </w:pPr>
      <w:r w:rsidDel="00000000" w:rsidR="00000000" w:rsidRPr="00000000">
        <w:rPr>
          <w:sz w:val="26"/>
          <w:szCs w:val="26"/>
          <w:highlight w:val="white"/>
          <w:rtl w:val="0"/>
        </w:rPr>
        <w:tab/>
        <w:t xml:space="preserve">A propósito, é preciso destacar que a Lei Estadual n° 17.290 de 2020 que “</w:t>
      </w:r>
      <w:r w:rsidDel="00000000" w:rsidR="00000000" w:rsidRPr="00000000">
        <w:rPr>
          <w:i w:val="1"/>
          <w:sz w:val="26"/>
          <w:szCs w:val="26"/>
          <w:highlight w:val="white"/>
          <w:rtl w:val="0"/>
        </w:rPr>
        <w:t xml:space="preserve">c</w:t>
      </w:r>
      <w:r w:rsidDel="00000000" w:rsidR="00000000" w:rsidRPr="00000000">
        <w:rPr>
          <w:i w:val="1"/>
          <w:sz w:val="26"/>
          <w:szCs w:val="26"/>
          <w:highlight w:val="white"/>
          <w:rtl w:val="0"/>
        </w:rPr>
        <w:t xml:space="preserve">ria o Programa Estadual de Combate à Fome nos períodos de férias escolares de crianças, de adolescentes e de jovens matriculados nas escolas da rede pública estadual de ensino, e dá outras providências” </w:t>
      </w:r>
      <w:r w:rsidDel="00000000" w:rsidR="00000000" w:rsidRPr="00000000">
        <w:rPr>
          <w:sz w:val="26"/>
          <w:szCs w:val="26"/>
          <w:highlight w:val="white"/>
          <w:rtl w:val="0"/>
        </w:rPr>
        <w:t xml:space="preserve">teve origem na Assembleia Legislativa de São Paulo, sendo proposta por parlamentar. Aliás, aproveitando o ensejo, a Comissão identificou que o artigo 3° do Projeto de Lei n° 136 de 2022 possui a mesma redação do artigo 3° da mencionada Lei Estadual, sendo direcionada a alunos da rede estadual de ensino. Sendo assim, o relator propõe emenda modificativa para adequação do Projeto ao âmbito municipal de Mogi Mirim.</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6"/>
          <w:szCs w:val="26"/>
        </w:rPr>
      </w:pPr>
      <w:r w:rsidDel="00000000" w:rsidR="00000000" w:rsidRPr="00000000">
        <w:rPr>
          <w:sz w:val="26"/>
          <w:szCs w:val="26"/>
          <w:rtl w:val="0"/>
        </w:rPr>
        <w:t xml:space="preserve">Ressaltamos que a propositura em análise pode acarretar em aumento de gastos por parte do Poder Executivo, neste sentido, este relator destaca que no âmbito jurídico, o Tema n° 917 do Supremo Tribunal Federal consignou que </w:t>
      </w:r>
      <w:r w:rsidDel="00000000" w:rsidR="00000000" w:rsidRPr="00000000">
        <w:rPr>
          <w:i w:val="1"/>
          <w:sz w:val="26"/>
          <w:szCs w:val="26"/>
          <w:rtl w:val="0"/>
        </w:rPr>
        <w:t xml:space="preserve">“não usurpa competência privativa do Chefe do poder Executivo lei que, embora crie despesa para a Administração, não trata de sua estrutura ou da atribuição de seus órgãos nem do regime jurídico de seus servidores”.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6"/>
          <w:szCs w:val="26"/>
        </w:rPr>
      </w:pPr>
      <w:r w:rsidDel="00000000" w:rsidR="00000000" w:rsidRPr="00000000">
        <w:rPr>
          <w:sz w:val="26"/>
          <w:szCs w:val="26"/>
          <w:rtl w:val="0"/>
        </w:rPr>
        <w:t xml:space="preserve">Sendo assim, identificamos que o dispositivo do artigo 4° da propositura em análise poderá ser melhor regulamentado pelo Poder Executivo Municipal, sendo assim, o relator propõe uma emenda supressiva ao artigo 4° do Projeto de Lei n° 136 de 2022.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6"/>
          <w:szCs w:val="26"/>
        </w:rPr>
      </w:pPr>
      <w:r w:rsidDel="00000000" w:rsidR="00000000" w:rsidRPr="00000000">
        <w:rPr>
          <w:sz w:val="26"/>
          <w:szCs w:val="26"/>
          <w:rtl w:val="0"/>
        </w:rPr>
        <w:t xml:space="preserve">Em relação ao aspecto gramatical e lógico, verifica-se que houve respeito às regras ortográficas e técnica legislativa, não havendo apontamentos neste sentido.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smallCaps w:val="0"/>
          <w:strike w:val="0"/>
          <w:color w:val="000000"/>
          <w:sz w:val="26"/>
          <w:szCs w:val="26"/>
          <w:u w:val="none"/>
          <w:shd w:fill="auto" w:val="clear"/>
          <w:vertAlign w:val="baseline"/>
        </w:rPr>
      </w:pPr>
      <w:r w:rsidDel="00000000" w:rsidR="00000000" w:rsidRPr="00000000">
        <w:rPr>
          <w:sz w:val="26"/>
          <w:szCs w:val="26"/>
          <w:rtl w:val="0"/>
        </w:rPr>
        <w:t xml:space="preserve">Portanto</w:t>
      </w:r>
      <w:r w:rsidDel="00000000" w:rsidR="00000000" w:rsidRPr="00000000">
        <w:rPr>
          <w:i w:val="0"/>
          <w:smallCaps w:val="0"/>
          <w:strike w:val="0"/>
          <w:color w:val="000000"/>
          <w:sz w:val="26"/>
          <w:szCs w:val="26"/>
          <w:u w:val="none"/>
          <w:shd w:fill="auto" w:val="clear"/>
          <w:vertAlign w:val="baseline"/>
          <w:rtl w:val="0"/>
        </w:rPr>
        <w:t xml:space="preserve">, seja no âmbito jurídico</w:t>
      </w:r>
      <w:r w:rsidDel="00000000" w:rsidR="00000000" w:rsidRPr="00000000">
        <w:rPr>
          <w:sz w:val="26"/>
          <w:szCs w:val="26"/>
          <w:rtl w:val="0"/>
        </w:rPr>
        <w:t xml:space="preserve"> e </w:t>
      </w:r>
      <w:r w:rsidDel="00000000" w:rsidR="00000000" w:rsidRPr="00000000">
        <w:rPr>
          <w:i w:val="0"/>
          <w:smallCaps w:val="0"/>
          <w:strike w:val="0"/>
          <w:color w:val="000000"/>
          <w:sz w:val="26"/>
          <w:szCs w:val="26"/>
          <w:u w:val="none"/>
          <w:shd w:fill="auto" w:val="clear"/>
          <w:vertAlign w:val="baseline"/>
          <w:rtl w:val="0"/>
        </w:rPr>
        <w:t xml:space="preserve">gramatical não se vislumbra irregularidades na propositura ora analisada, motivo pelo qual não se verifica óbice para continuidade da proposta apresentada pel</w:t>
      </w:r>
      <w:r w:rsidDel="00000000" w:rsidR="00000000" w:rsidRPr="00000000">
        <w:rPr>
          <w:sz w:val="26"/>
          <w:szCs w:val="26"/>
          <w:rtl w:val="0"/>
        </w:rPr>
        <w:t xml:space="preserve">a nobre vereadora</w:t>
      </w:r>
      <w:r w:rsidDel="00000000" w:rsidR="00000000" w:rsidRPr="00000000">
        <w:rPr>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spacing w:line="276" w:lineRule="auto"/>
        <w:jc w:val="both"/>
        <w:rPr>
          <w:sz w:val="26"/>
          <w:szCs w:val="26"/>
        </w:rPr>
      </w:pPr>
      <w:r w:rsidDel="00000000" w:rsidR="00000000" w:rsidRPr="00000000">
        <w:rPr>
          <w:b w:val="1"/>
          <w:sz w:val="26"/>
          <w:szCs w:val="26"/>
          <w:rtl w:val="0"/>
        </w:rPr>
        <w:t xml:space="preserve">III. Substitutivos, Emendas ou subemendas ao Projeto</w:t>
      </w:r>
      <w:r w:rsidDel="00000000" w:rsidR="00000000" w:rsidRPr="00000000">
        <w:rPr>
          <w:rtl w:val="0"/>
        </w:rPr>
      </w:r>
    </w:p>
    <w:p w:rsidR="00000000" w:rsidDel="00000000" w:rsidP="00000000" w:rsidRDefault="00000000" w:rsidRPr="00000000" w14:paraId="00000027">
      <w:pPr>
        <w:spacing w:line="276" w:lineRule="auto"/>
        <w:jc w:val="both"/>
        <w:rPr>
          <w:sz w:val="26"/>
          <w:szCs w:val="26"/>
        </w:rPr>
      </w:pPr>
      <w:r w:rsidDel="00000000" w:rsidR="00000000" w:rsidRPr="00000000">
        <w:rPr>
          <w:sz w:val="26"/>
          <w:szCs w:val="26"/>
          <w:rtl w:val="0"/>
        </w:rPr>
        <w:t xml:space="preserve"> </w:t>
        <w:tab/>
        <w:t xml:space="preserve">O Relator propõe uma emenda modificativa e uma emenda supressiva ao Projeto de Lei sob análise.</w:t>
      </w:r>
    </w:p>
    <w:p w:rsidR="00000000" w:rsidDel="00000000" w:rsidP="00000000" w:rsidRDefault="00000000" w:rsidRPr="00000000" w14:paraId="00000028">
      <w:pPr>
        <w:spacing w:line="276" w:lineRule="auto"/>
        <w:jc w:val="both"/>
        <w:rPr>
          <w:sz w:val="26"/>
          <w:szCs w:val="26"/>
        </w:rPr>
      </w:pPr>
      <w:r w:rsidDel="00000000" w:rsidR="00000000" w:rsidRPr="00000000">
        <w:rPr>
          <w:rtl w:val="0"/>
        </w:rPr>
      </w:r>
    </w:p>
    <w:p w:rsidR="00000000" w:rsidDel="00000000" w:rsidP="00000000" w:rsidRDefault="00000000" w:rsidRPr="00000000" w14:paraId="00000029">
      <w:pPr>
        <w:spacing w:line="276" w:lineRule="auto"/>
        <w:jc w:val="both"/>
        <w:rPr>
          <w:b w:val="1"/>
          <w:sz w:val="26"/>
          <w:szCs w:val="26"/>
        </w:rPr>
      </w:pPr>
      <w:r w:rsidDel="00000000" w:rsidR="00000000" w:rsidRPr="00000000">
        <w:rPr>
          <w:b w:val="1"/>
          <w:sz w:val="26"/>
          <w:szCs w:val="26"/>
          <w:rtl w:val="0"/>
        </w:rPr>
        <w:t xml:space="preserve">IV. Decisão do Relator.</w:t>
      </w:r>
    </w:p>
    <w:p w:rsidR="00000000" w:rsidDel="00000000" w:rsidP="00000000" w:rsidRDefault="00000000" w:rsidRPr="00000000" w14:paraId="0000002A">
      <w:pPr>
        <w:spacing w:line="276" w:lineRule="auto"/>
        <w:ind w:firstLine="720"/>
        <w:jc w:val="both"/>
        <w:rPr>
          <w:sz w:val="26"/>
          <w:szCs w:val="26"/>
        </w:rPr>
      </w:pPr>
      <w:r w:rsidDel="00000000" w:rsidR="00000000" w:rsidRPr="00000000">
        <w:rPr>
          <w:sz w:val="26"/>
          <w:szCs w:val="26"/>
          <w:rtl w:val="0"/>
        </w:rPr>
        <w:t xml:space="preserve">Portanto, diante do exposto, esta relatoria considera que a presente propositura não apresenta vícios de constitucionalidade, recebendo assim parecer </w:t>
      </w:r>
      <w:r w:rsidDel="00000000" w:rsidR="00000000" w:rsidRPr="00000000">
        <w:rPr>
          <w:b w:val="1"/>
          <w:sz w:val="26"/>
          <w:szCs w:val="26"/>
          <w:rtl w:val="0"/>
        </w:rPr>
        <w:t xml:space="preserve">FAVORÁVEL.</w:t>
      </w:r>
      <w:r w:rsidDel="00000000" w:rsidR="00000000" w:rsidRPr="00000000">
        <w:rPr>
          <w:rtl w:val="0"/>
        </w:rPr>
      </w:r>
    </w:p>
    <w:p w:rsidR="00000000" w:rsidDel="00000000" w:rsidP="00000000" w:rsidRDefault="00000000" w:rsidRPr="00000000" w14:paraId="0000002B">
      <w:pPr>
        <w:jc w:val="left"/>
        <w:rPr>
          <w:b w:val="1"/>
          <w:sz w:val="26"/>
          <w:szCs w:val="26"/>
        </w:rPr>
      </w:pPr>
      <w:r w:rsidDel="00000000" w:rsidR="00000000" w:rsidRPr="00000000">
        <w:rPr>
          <w:rtl w:val="0"/>
        </w:rPr>
      </w:r>
    </w:p>
    <w:p w:rsidR="00000000" w:rsidDel="00000000" w:rsidP="00000000" w:rsidRDefault="00000000" w:rsidRPr="00000000" w14:paraId="0000002C">
      <w:pPr>
        <w:jc w:val="center"/>
        <w:rPr>
          <w:sz w:val="26"/>
          <w:szCs w:val="26"/>
        </w:rPr>
      </w:pPr>
      <w:r w:rsidDel="00000000" w:rsidR="00000000" w:rsidRPr="00000000">
        <w:rPr>
          <w:b w:val="1"/>
          <w:color w:val="000000"/>
          <w:sz w:val="26"/>
          <w:szCs w:val="26"/>
          <w:rtl w:val="0"/>
        </w:rPr>
        <w:t xml:space="preserve">PARECER N.º</w:t>
      </w:r>
      <w:r w:rsidDel="00000000" w:rsidR="00000000" w:rsidRPr="00000000">
        <w:rPr>
          <w:b w:val="1"/>
          <w:sz w:val="26"/>
          <w:szCs w:val="26"/>
          <w:rtl w:val="0"/>
        </w:rPr>
        <w:t xml:space="preserve"> </w:t>
      </w:r>
      <w:r w:rsidDel="00000000" w:rsidR="00000000" w:rsidRPr="00000000">
        <w:rPr>
          <w:b w:val="1"/>
          <w:color w:val="000000"/>
          <w:sz w:val="26"/>
          <w:szCs w:val="26"/>
          <w:rtl w:val="0"/>
        </w:rPr>
        <w:t xml:space="preserve"> </w:t>
      </w:r>
      <w:r w:rsidDel="00000000" w:rsidR="00000000" w:rsidRPr="00000000">
        <w:rPr>
          <w:b w:val="1"/>
          <w:sz w:val="26"/>
          <w:szCs w:val="26"/>
          <w:rtl w:val="0"/>
        </w:rPr>
        <w:t xml:space="preserve">     </w:t>
      </w:r>
      <w:r w:rsidDel="00000000" w:rsidR="00000000" w:rsidRPr="00000000">
        <w:rPr>
          <w:b w:val="1"/>
          <w:color w:val="000000"/>
          <w:sz w:val="26"/>
          <w:szCs w:val="26"/>
          <w:rtl w:val="0"/>
        </w:rPr>
        <w:t xml:space="preserve">/2022 DA COMISSÃO DE JUSTIÇA E REDAÇÃO</w:t>
      </w:r>
      <w:r w:rsidDel="00000000" w:rsidR="00000000" w:rsidRPr="00000000">
        <w:rPr>
          <w:b w:val="1"/>
          <w:sz w:val="26"/>
          <w:szCs w:val="26"/>
          <w:rtl w:val="0"/>
        </w:rPr>
        <w:t xml:space="preserve">.</w:t>
      </w:r>
      <w:r w:rsidDel="00000000" w:rsidR="00000000" w:rsidRPr="00000000">
        <w:rPr>
          <w:rtl w:val="0"/>
        </w:rPr>
      </w:r>
    </w:p>
    <w:p w:rsidR="00000000" w:rsidDel="00000000" w:rsidP="00000000" w:rsidRDefault="00000000" w:rsidRPr="00000000" w14:paraId="0000002D">
      <w:pPr>
        <w:spacing w:after="240" w:lineRule="auto"/>
        <w:rPr>
          <w:sz w:val="26"/>
          <w:szCs w:val="26"/>
        </w:rPr>
      </w:pPr>
      <w:r w:rsidDel="00000000" w:rsidR="00000000" w:rsidRPr="00000000">
        <w:rPr>
          <w:rtl w:val="0"/>
        </w:rPr>
      </w:r>
    </w:p>
    <w:p w:rsidR="00000000" w:rsidDel="00000000" w:rsidP="00000000" w:rsidRDefault="00000000" w:rsidRPr="00000000" w14:paraId="0000002E">
      <w:pPr>
        <w:ind w:firstLine="720"/>
        <w:jc w:val="both"/>
        <w:rPr>
          <w:sz w:val="26"/>
          <w:szCs w:val="26"/>
        </w:rPr>
      </w:pPr>
      <w:r w:rsidDel="00000000" w:rsidR="00000000" w:rsidRPr="00000000">
        <w:rPr>
          <w:color w:val="000000"/>
          <w:sz w:val="26"/>
          <w:szCs w:val="26"/>
          <w:rtl w:val="0"/>
        </w:rPr>
        <w:t xml:space="preserve">Seguindo o Voto exarado pelo Relator e conforme determina o artigo 35</w:t>
      </w:r>
      <w:r w:rsidDel="00000000" w:rsidR="00000000" w:rsidRPr="00000000">
        <w:rPr>
          <w:sz w:val="26"/>
          <w:szCs w:val="26"/>
          <w:rtl w:val="0"/>
        </w:rPr>
        <w:t xml:space="preserve">, combinado com artigo 45 da Resolução n°  276 de 09 de novembro de 2010, Regimento Interno da Câmara Municipal de Mogi Mirim, a Comissões</w:t>
      </w:r>
      <w:r w:rsidDel="00000000" w:rsidR="00000000" w:rsidRPr="00000000">
        <w:rPr>
          <w:color w:val="000000"/>
          <w:sz w:val="26"/>
          <w:szCs w:val="26"/>
          <w:rtl w:val="0"/>
        </w:rPr>
        <w:t xml:space="preserve"> de Justiça</w:t>
      </w:r>
      <w:r w:rsidDel="00000000" w:rsidR="00000000" w:rsidRPr="00000000">
        <w:rPr>
          <w:sz w:val="26"/>
          <w:szCs w:val="26"/>
          <w:rtl w:val="0"/>
        </w:rPr>
        <w:t xml:space="preserve"> formaliza</w:t>
      </w:r>
      <w:r w:rsidDel="00000000" w:rsidR="00000000" w:rsidRPr="00000000">
        <w:rPr>
          <w:color w:val="000000"/>
          <w:sz w:val="26"/>
          <w:szCs w:val="26"/>
          <w:rtl w:val="0"/>
        </w:rPr>
        <w:t xml:space="preserve"> o presente </w:t>
      </w:r>
      <w:r w:rsidDel="00000000" w:rsidR="00000000" w:rsidRPr="00000000">
        <w:rPr>
          <w:b w:val="1"/>
          <w:color w:val="000000"/>
          <w:sz w:val="26"/>
          <w:szCs w:val="26"/>
          <w:rtl w:val="0"/>
        </w:rPr>
        <w:t xml:space="preserve">PARECER FAVORÁVEL</w:t>
      </w: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02F">
      <w:pPr>
        <w:jc w:val="both"/>
        <w:rPr>
          <w:sz w:val="26"/>
          <w:szCs w:val="26"/>
        </w:rPr>
      </w:pPr>
      <w:r w:rsidDel="00000000" w:rsidR="00000000" w:rsidRPr="00000000">
        <w:rPr>
          <w:rtl w:val="0"/>
        </w:rPr>
      </w:r>
    </w:p>
    <w:p w:rsidR="00000000" w:rsidDel="00000000" w:rsidP="00000000" w:rsidRDefault="00000000" w:rsidRPr="00000000" w14:paraId="00000030">
      <w:pPr>
        <w:jc w:val="center"/>
        <w:rPr>
          <w:color w:val="000000"/>
          <w:sz w:val="26"/>
          <w:szCs w:val="26"/>
          <w:highlight w:val="white"/>
        </w:rPr>
      </w:pPr>
      <w:r w:rsidDel="00000000" w:rsidR="00000000" w:rsidRPr="00000000">
        <w:rPr>
          <w:color w:val="000000"/>
          <w:sz w:val="26"/>
          <w:szCs w:val="26"/>
          <w:highlight w:val="white"/>
          <w:rtl w:val="0"/>
        </w:rPr>
        <w:t xml:space="preserve">Sala das Comissões, em </w:t>
      </w:r>
      <w:r w:rsidDel="00000000" w:rsidR="00000000" w:rsidRPr="00000000">
        <w:rPr>
          <w:sz w:val="26"/>
          <w:szCs w:val="26"/>
          <w:highlight w:val="white"/>
          <w:rtl w:val="0"/>
        </w:rPr>
        <w:t xml:space="preserve">08 de dezembro </w:t>
      </w:r>
      <w:r w:rsidDel="00000000" w:rsidR="00000000" w:rsidRPr="00000000">
        <w:rPr>
          <w:color w:val="000000"/>
          <w:sz w:val="26"/>
          <w:szCs w:val="26"/>
          <w:highlight w:val="white"/>
          <w:rtl w:val="0"/>
        </w:rPr>
        <w:t xml:space="preserve">de 2022.</w:t>
      </w:r>
    </w:p>
    <w:p w:rsidR="00000000" w:rsidDel="00000000" w:rsidP="00000000" w:rsidRDefault="00000000" w:rsidRPr="00000000" w14:paraId="00000031">
      <w:pPr>
        <w:jc w:val="center"/>
        <w:rPr>
          <w:sz w:val="26"/>
          <w:szCs w:val="26"/>
          <w:highlight w:val="white"/>
        </w:rPr>
      </w:pPr>
      <w:r w:rsidDel="00000000" w:rsidR="00000000" w:rsidRPr="00000000">
        <w:rPr>
          <w:rtl w:val="0"/>
        </w:rPr>
      </w:r>
    </w:p>
    <w:p w:rsidR="00000000" w:rsidDel="00000000" w:rsidP="00000000" w:rsidRDefault="00000000" w:rsidRPr="00000000" w14:paraId="00000032">
      <w:pPr>
        <w:spacing w:after="240" w:lineRule="auto"/>
        <w:rPr>
          <w:b w:val="1"/>
          <w:sz w:val="26"/>
          <w:szCs w:val="26"/>
        </w:rPr>
      </w:pPr>
      <w:r w:rsidDel="00000000" w:rsidR="00000000" w:rsidRPr="00000000">
        <w:rPr>
          <w:rtl w:val="0"/>
        </w:rPr>
      </w:r>
    </w:p>
    <w:p w:rsidR="00000000" w:rsidDel="00000000" w:rsidP="00000000" w:rsidRDefault="00000000" w:rsidRPr="00000000" w14:paraId="00000033">
      <w:pPr>
        <w:jc w:val="center"/>
        <w:rPr>
          <w:b w:val="1"/>
          <w:sz w:val="26"/>
          <w:szCs w:val="26"/>
        </w:rPr>
      </w:pPr>
      <w:r w:rsidDel="00000000" w:rsidR="00000000" w:rsidRPr="00000000">
        <w:rPr>
          <w:b w:val="1"/>
          <w:color w:val="000000"/>
          <w:sz w:val="26"/>
          <w:szCs w:val="26"/>
          <w:highlight w:val="white"/>
          <w:u w:val="single"/>
          <w:rtl w:val="0"/>
        </w:rPr>
        <w:t xml:space="preserve">COMISSÃO DE JUSTIÇA E REDAÇÃO</w:t>
      </w:r>
      <w:r w:rsidDel="00000000" w:rsidR="00000000" w:rsidRPr="00000000">
        <w:rPr>
          <w:rtl w:val="0"/>
        </w:rPr>
      </w:r>
    </w:p>
    <w:p w:rsidR="00000000" w:rsidDel="00000000" w:rsidP="00000000" w:rsidRDefault="00000000" w:rsidRPr="00000000" w14:paraId="00000034">
      <w:pPr>
        <w:spacing w:after="240" w:lineRule="auto"/>
        <w:rPr>
          <w:sz w:val="26"/>
          <w:szCs w:val="26"/>
        </w:rPr>
      </w:pPr>
      <w:r w:rsidDel="00000000" w:rsidR="00000000" w:rsidRPr="00000000">
        <w:rPr>
          <w:sz w:val="26"/>
          <w:szCs w:val="26"/>
          <w:rtl w:val="0"/>
        </w:rPr>
        <w:br w:type="textWrapping"/>
      </w:r>
    </w:p>
    <w:p w:rsidR="00000000" w:rsidDel="00000000" w:rsidP="00000000" w:rsidRDefault="00000000" w:rsidRPr="00000000" w14:paraId="00000035">
      <w:pPr>
        <w:jc w:val="center"/>
        <w:rPr>
          <w:b w:val="1"/>
          <w:sz w:val="26"/>
          <w:szCs w:val="26"/>
        </w:rPr>
      </w:pPr>
      <w:r w:rsidDel="00000000" w:rsidR="00000000" w:rsidRPr="00000000">
        <w:rPr>
          <w:rtl w:val="0"/>
        </w:rPr>
      </w:r>
    </w:p>
    <w:p w:rsidR="00000000" w:rsidDel="00000000" w:rsidP="00000000" w:rsidRDefault="00000000" w:rsidRPr="00000000" w14:paraId="00000036">
      <w:pPr>
        <w:jc w:val="left"/>
        <w:rPr>
          <w:b w:val="1"/>
          <w:sz w:val="26"/>
          <w:szCs w:val="26"/>
        </w:rPr>
      </w:pPr>
      <w:r w:rsidDel="00000000" w:rsidR="00000000" w:rsidRPr="00000000">
        <w:rPr>
          <w:rtl w:val="0"/>
        </w:rPr>
      </w:r>
    </w:p>
    <w:p w:rsidR="00000000" w:rsidDel="00000000" w:rsidP="00000000" w:rsidRDefault="00000000" w:rsidRPr="00000000" w14:paraId="00000037">
      <w:pPr>
        <w:jc w:val="left"/>
        <w:rPr>
          <w:b w:val="1"/>
          <w:sz w:val="26"/>
          <w:szCs w:val="26"/>
        </w:rPr>
      </w:pPr>
      <w:r w:rsidDel="00000000" w:rsidR="00000000" w:rsidRPr="00000000">
        <w:rPr>
          <w:rtl w:val="0"/>
        </w:rPr>
      </w:r>
    </w:p>
    <w:p w:rsidR="00000000" w:rsidDel="00000000" w:rsidP="00000000" w:rsidRDefault="00000000" w:rsidRPr="00000000" w14:paraId="00000038">
      <w:pPr>
        <w:jc w:val="center"/>
        <w:rPr>
          <w:sz w:val="26"/>
          <w:szCs w:val="26"/>
        </w:rPr>
      </w:pPr>
      <w:r w:rsidDel="00000000" w:rsidR="00000000" w:rsidRPr="00000000">
        <w:rPr>
          <w:b w:val="1"/>
          <w:color w:val="000000"/>
          <w:sz w:val="26"/>
          <w:szCs w:val="26"/>
          <w:highlight w:val="white"/>
          <w:rtl w:val="0"/>
        </w:rPr>
        <w:t xml:space="preserve">VEREADOR JOÃO VICTOR GASPARINI</w:t>
      </w:r>
      <w:r w:rsidDel="00000000" w:rsidR="00000000" w:rsidRPr="00000000">
        <w:rPr>
          <w:rtl w:val="0"/>
        </w:rPr>
      </w:r>
    </w:p>
    <w:p w:rsidR="00000000" w:rsidDel="00000000" w:rsidP="00000000" w:rsidRDefault="00000000" w:rsidRPr="00000000" w14:paraId="00000039">
      <w:pPr>
        <w:jc w:val="center"/>
        <w:rPr>
          <w:color w:val="000000"/>
          <w:sz w:val="26"/>
          <w:szCs w:val="26"/>
          <w:highlight w:val="white"/>
        </w:rPr>
      </w:pPr>
      <w:r w:rsidDel="00000000" w:rsidR="00000000" w:rsidRPr="00000000">
        <w:rPr>
          <w:color w:val="000000"/>
          <w:sz w:val="26"/>
          <w:szCs w:val="26"/>
          <w:highlight w:val="white"/>
          <w:rtl w:val="0"/>
        </w:rPr>
        <w:t xml:space="preserve">Presidente / RELATOR</w:t>
      </w:r>
    </w:p>
    <w:p w:rsidR="00000000" w:rsidDel="00000000" w:rsidP="00000000" w:rsidRDefault="00000000" w:rsidRPr="00000000" w14:paraId="0000003A">
      <w:pPr>
        <w:jc w:val="center"/>
        <w:rPr>
          <w:sz w:val="26"/>
          <w:szCs w:val="26"/>
        </w:rPr>
      </w:pPr>
      <w:r w:rsidDel="00000000" w:rsidR="00000000" w:rsidRPr="00000000">
        <w:rPr>
          <w:rtl w:val="0"/>
        </w:rPr>
      </w:r>
    </w:p>
    <w:p w:rsidR="00000000" w:rsidDel="00000000" w:rsidP="00000000" w:rsidRDefault="00000000" w:rsidRPr="00000000" w14:paraId="0000003B">
      <w:pPr>
        <w:jc w:val="center"/>
        <w:rPr>
          <w:sz w:val="26"/>
          <w:szCs w:val="26"/>
        </w:rPr>
      </w:pPr>
      <w:r w:rsidDel="00000000" w:rsidR="00000000" w:rsidRPr="00000000">
        <w:rPr>
          <w:rtl w:val="0"/>
        </w:rPr>
      </w:r>
    </w:p>
    <w:p w:rsidR="00000000" w:rsidDel="00000000" w:rsidP="00000000" w:rsidRDefault="00000000" w:rsidRPr="00000000" w14:paraId="0000003C">
      <w:pPr>
        <w:jc w:val="center"/>
        <w:rPr>
          <w:sz w:val="26"/>
          <w:szCs w:val="26"/>
        </w:rPr>
      </w:pPr>
      <w:r w:rsidDel="00000000" w:rsidR="00000000" w:rsidRPr="00000000">
        <w:rPr>
          <w:rtl w:val="0"/>
        </w:rPr>
      </w:r>
    </w:p>
    <w:p w:rsidR="00000000" w:rsidDel="00000000" w:rsidP="00000000" w:rsidRDefault="00000000" w:rsidRPr="00000000" w14:paraId="0000003D">
      <w:pPr>
        <w:spacing w:after="240" w:lineRule="auto"/>
        <w:rPr>
          <w:sz w:val="26"/>
          <w:szCs w:val="26"/>
        </w:rPr>
      </w:pPr>
      <w:r w:rsidDel="00000000" w:rsidR="00000000" w:rsidRPr="00000000">
        <w:rPr>
          <w:rtl w:val="0"/>
        </w:rPr>
      </w:r>
    </w:p>
    <w:p w:rsidR="00000000" w:rsidDel="00000000" w:rsidP="00000000" w:rsidRDefault="00000000" w:rsidRPr="00000000" w14:paraId="0000003E">
      <w:pPr>
        <w:jc w:val="center"/>
        <w:rPr>
          <w:sz w:val="26"/>
          <w:szCs w:val="26"/>
        </w:rPr>
      </w:pPr>
      <w:r w:rsidDel="00000000" w:rsidR="00000000" w:rsidRPr="00000000">
        <w:rPr>
          <w:b w:val="1"/>
          <w:color w:val="000000"/>
          <w:sz w:val="26"/>
          <w:szCs w:val="26"/>
          <w:highlight w:val="white"/>
          <w:rtl w:val="0"/>
        </w:rPr>
        <w:t xml:space="preserve">VEREADORA MARA CRISTINA CHOQUETTA</w:t>
      </w:r>
      <w:r w:rsidDel="00000000" w:rsidR="00000000" w:rsidRPr="00000000">
        <w:rPr>
          <w:rtl w:val="0"/>
        </w:rPr>
      </w:r>
    </w:p>
    <w:p w:rsidR="00000000" w:rsidDel="00000000" w:rsidP="00000000" w:rsidRDefault="00000000" w:rsidRPr="00000000" w14:paraId="0000003F">
      <w:pPr>
        <w:jc w:val="center"/>
        <w:rPr>
          <w:sz w:val="26"/>
          <w:szCs w:val="26"/>
        </w:rPr>
      </w:pPr>
      <w:r w:rsidDel="00000000" w:rsidR="00000000" w:rsidRPr="00000000">
        <w:rPr>
          <w:color w:val="000000"/>
          <w:sz w:val="26"/>
          <w:szCs w:val="26"/>
          <w:highlight w:val="white"/>
          <w:rtl w:val="0"/>
        </w:rPr>
        <w:t xml:space="preserve">Vice-presidente</w:t>
      </w:r>
      <w:r w:rsidDel="00000000" w:rsidR="00000000" w:rsidRPr="00000000">
        <w:rPr>
          <w:rtl w:val="0"/>
        </w:rPr>
      </w:r>
    </w:p>
    <w:p w:rsidR="00000000" w:rsidDel="00000000" w:rsidP="00000000" w:rsidRDefault="00000000" w:rsidRPr="00000000" w14:paraId="00000040">
      <w:pPr>
        <w:spacing w:after="240" w:lineRule="auto"/>
        <w:rPr>
          <w:sz w:val="26"/>
          <w:szCs w:val="26"/>
        </w:rPr>
      </w:pPr>
      <w:r w:rsidDel="00000000" w:rsidR="00000000" w:rsidRPr="00000000">
        <w:rPr>
          <w:rtl w:val="0"/>
        </w:rPr>
      </w:r>
    </w:p>
    <w:p w:rsidR="00000000" w:rsidDel="00000000" w:rsidP="00000000" w:rsidRDefault="00000000" w:rsidRPr="00000000" w14:paraId="00000041">
      <w:pPr>
        <w:spacing w:after="240" w:lineRule="auto"/>
        <w:rPr>
          <w:sz w:val="26"/>
          <w:szCs w:val="26"/>
        </w:rPr>
      </w:pPr>
      <w:r w:rsidDel="00000000" w:rsidR="00000000" w:rsidRPr="00000000">
        <w:rPr>
          <w:rtl w:val="0"/>
        </w:rPr>
      </w:r>
    </w:p>
    <w:p w:rsidR="00000000" w:rsidDel="00000000" w:rsidP="00000000" w:rsidRDefault="00000000" w:rsidRPr="00000000" w14:paraId="00000042">
      <w:pPr>
        <w:spacing w:after="240" w:lineRule="auto"/>
        <w:rPr>
          <w:sz w:val="26"/>
          <w:szCs w:val="26"/>
        </w:rPr>
      </w:pPr>
      <w:r w:rsidDel="00000000" w:rsidR="00000000" w:rsidRPr="00000000">
        <w:rPr>
          <w:sz w:val="26"/>
          <w:szCs w:val="26"/>
          <w:rtl w:val="0"/>
        </w:rPr>
        <w:br w:type="textWrapping"/>
      </w:r>
    </w:p>
    <w:p w:rsidR="00000000" w:rsidDel="00000000" w:rsidP="00000000" w:rsidRDefault="00000000" w:rsidRPr="00000000" w14:paraId="00000043">
      <w:pPr>
        <w:jc w:val="center"/>
        <w:rPr>
          <w:sz w:val="26"/>
          <w:szCs w:val="26"/>
        </w:rPr>
      </w:pPr>
      <w:r w:rsidDel="00000000" w:rsidR="00000000" w:rsidRPr="00000000">
        <w:rPr>
          <w:b w:val="1"/>
          <w:sz w:val="26"/>
          <w:szCs w:val="26"/>
          <w:highlight w:val="white"/>
          <w:rtl w:val="0"/>
        </w:rPr>
        <w:t xml:space="preserve">VEREADORA DR. LÚCIA MARIA FERREIRA TENÓRIO</w:t>
      </w:r>
      <w:r w:rsidDel="00000000" w:rsidR="00000000" w:rsidRPr="00000000">
        <w:rPr>
          <w:rtl w:val="0"/>
        </w:rPr>
      </w:r>
    </w:p>
    <w:p w:rsidR="00000000" w:rsidDel="00000000" w:rsidP="00000000" w:rsidRDefault="00000000" w:rsidRPr="00000000" w14:paraId="00000044">
      <w:pPr>
        <w:spacing w:after="0" w:lineRule="auto"/>
        <w:jc w:val="center"/>
        <w:rPr>
          <w:sz w:val="26"/>
          <w:szCs w:val="26"/>
        </w:rPr>
      </w:pPr>
      <w:r w:rsidDel="00000000" w:rsidR="00000000" w:rsidRPr="00000000">
        <w:rPr>
          <w:color w:val="000000"/>
          <w:sz w:val="26"/>
          <w:szCs w:val="26"/>
          <w:highlight w:val="white"/>
          <w:rtl w:val="0"/>
        </w:rPr>
        <w:t xml:space="preserve">Membro </w:t>
      </w:r>
      <w:r w:rsidDel="00000000" w:rsidR="00000000" w:rsidRPr="00000000">
        <w:rPr>
          <w:rtl w:val="0"/>
        </w:rPr>
      </w:r>
    </w:p>
    <w:p w:rsidR="00000000" w:rsidDel="00000000" w:rsidP="00000000" w:rsidRDefault="00000000" w:rsidRPr="00000000" w14:paraId="00000045">
      <w:pPr>
        <w:spacing w:after="0" w:before="0" w:lineRule="auto"/>
        <w:jc w:val="center"/>
        <w:rPr>
          <w:b w:val="1"/>
          <w:sz w:val="26"/>
          <w:szCs w:val="26"/>
          <w:highlight w:val="white"/>
          <w:u w:val="single"/>
        </w:rPr>
      </w:pPr>
      <w:r w:rsidDel="00000000" w:rsidR="00000000" w:rsidRPr="00000000">
        <w:rPr>
          <w:rtl w:val="0"/>
        </w:rPr>
      </w:r>
    </w:p>
    <w:p w:rsidR="00000000" w:rsidDel="00000000" w:rsidP="00000000" w:rsidRDefault="00000000" w:rsidRPr="00000000" w14:paraId="00000046">
      <w:pPr>
        <w:spacing w:after="240" w:before="0" w:lineRule="auto"/>
        <w:jc w:val="left"/>
        <w:rPr>
          <w:sz w:val="26"/>
          <w:szCs w:val="26"/>
        </w:rPr>
      </w:pPr>
      <w:r w:rsidDel="00000000" w:rsidR="00000000" w:rsidRPr="00000000">
        <w:rPr>
          <w:rtl w:val="0"/>
        </w:rPr>
      </w:r>
    </w:p>
    <w:sectPr>
      <w:headerReference r:id="rId6" w:type="default"/>
      <w:headerReference r:id="rId7" w:type="even"/>
      <w:footerReference r:id="rId8" w:type="default"/>
      <w:pgSz w:h="16840" w:w="11907" w:orient="portrait"/>
      <w:pgMar w:bottom="973.7007874015751" w:top="2268" w:left="1418" w:right="132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Rua Dr. José Alves, 129 - Centro - Fone : (019) 3814.1200 - Fax: (019) 3814.1206 – Mogi Mirim - SP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38225" cy="752475"/>
          <wp:effectExtent b="0" l="0" r="0" t="0"/>
          <wp:docPr descr="brasaomm" id="1" name="image1.jpg"/>
          <a:graphic>
            <a:graphicData uri="http://schemas.openxmlformats.org/drawingml/2006/picture">
              <pic:pic>
                <pic:nvPicPr>
                  <pic:cNvPr descr="brasaomm" id="0" name="image1.jpg"/>
                  <pic:cNvPicPr preferRelativeResize="0"/>
                </pic:nvPicPr>
                <pic:blipFill>
                  <a:blip r:embed="rId1"/>
                  <a:srcRect b="0" l="0" r="0" t="0"/>
                  <a:stretch>
                    <a:fillRect/>
                  </a:stretch>
                </pic:blipFill>
                <pic:spPr>
                  <a:xfrm>
                    <a:off x="0" y="0"/>
                    <a:ext cx="1038225" cy="7524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CÂMARA MUNICIPAL DE MOGI MIRIM</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right" w:pos="7513"/>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Estado de São Paulo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right" w:pos="7513"/>
      </w:tabs>
      <w:spacing w:after="0" w:before="0" w:line="240" w:lineRule="auto"/>
      <w:ind w:left="0" w:right="0" w:firstLine="0"/>
      <w:jc w:val="right"/>
      <w:rPr>
        <w:i w:val="1"/>
        <w:u w:val="single"/>
      </w:rPr>
    </w:pPr>
    <w:r w:rsidDel="00000000" w:rsidR="00000000" w:rsidRPr="00000000">
      <w:rPr>
        <w:i w:val="1"/>
        <w:u w:val="single"/>
        <w:rtl w:val="0"/>
      </w:rPr>
      <w:t xml:space="preserve">Parecer ao Projeto de Lei n° 136/2022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