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</w:rPr>
        <w:t>RELATÓRIO</w:t>
      </w:r>
    </w:p>
    <w:p>
      <w:pPr>
        <w:spacing w:before="0" w:after="0" w:line="240" w:lineRule="auto"/>
        <w:contextualSpacing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ascii="Calibri" w:hAnsi="Calibri" w:cs="Arial"/>
          <w:b/>
          <w:bCs/>
          <w:i w:val="0"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Projeto de Lei nº 02/2022</w:t>
      </w:r>
    </w:p>
    <w:p>
      <w:pPr>
        <w:pStyle w:val="BodyText"/>
        <w:bidi w:val="0"/>
        <w:spacing w:before="0" w:after="0" w:line="240" w:lineRule="auto"/>
        <w:contextualSpacing/>
        <w:rPr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Processo nº 02/2022</w:t>
      </w:r>
    </w:p>
    <w:p>
      <w:pPr>
        <w:pStyle w:val="BodyText"/>
        <w:bidi w:val="0"/>
        <w:spacing w:before="240" w:after="0" w:line="240" w:lineRule="auto"/>
        <w:jc w:val="both"/>
        <w:rPr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Conforme determina o artigo 35 da Resolução 276 de 09 de novembro de 2010 – Regimento Interno da Câmara Municipal, a Comissão Permanente de Justiça e Redação emite o presente Relatório acerca do Projeto de Lei nº 02/2022, de autoria da Vereadora Sônia Regina Rodrigues Módena, sob relatoria da Vereadora Lúcia Maria Ferreira Tenório</w:t>
      </w:r>
    </w:p>
    <w:p>
      <w:pPr>
        <w:pStyle w:val="BodyText"/>
        <w:bidi w:val="0"/>
        <w:spacing w:before="240" w:after="0" w:line="240" w:lineRule="auto"/>
        <w:jc w:val="both"/>
        <w:rPr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jc w:val="both"/>
        <w:rPr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 xml:space="preserve">A Excelentíssima Senhora Vereadora Sônia Regina Rodrigues Módena protocolou nesta Casa de Leis o Projeto de Lei nº 02/2022, que </w:t>
      </w:r>
      <w:r>
        <w:rPr>
          <w:rFonts w:ascii="Calibri" w:hAnsi="Calibri"/>
          <w:b/>
          <w:b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“</w:t>
      </w:r>
      <w:r>
        <w:rPr>
          <w:rFonts w:ascii="Calibri" w:hAnsi="Calibri"/>
          <w:b/>
          <w:bCs/>
          <w:i w:val="0"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effect w:val="none"/>
          <w:shd w:val="clear" w:color="auto" w:fill="auto"/>
        </w:rPr>
        <w:t>ESTABELECE, NO ÂMBITO DO MUNICÍPIO DE MOGI MIRIM, SANÇÕES E PENALIDADES ADMINISTRATIVAS PARA AQUELES QUE PRATICAREM MAUS-TRATOS AOS ANIMAIS, E DÁ OUTRAS PROVIDÊNCIAS.”</w:t>
      </w:r>
      <w:r>
        <w:rPr>
          <w:rFonts w:ascii="Calibri" w:hAnsi="Calibri"/>
          <w:b/>
          <w:bCs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sz w:val="26"/>
          <w:szCs w:val="26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II. Do mérito e conclusões da relatora</w:t>
      </w:r>
      <w:r>
        <w:rPr>
          <w:rFonts w:ascii="Calibri" w:hAnsi="Calibri"/>
          <w:b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 </w:t>
      </w:r>
    </w:p>
    <w:p>
      <w:pPr>
        <w:pStyle w:val="BodyText"/>
        <w:bidi w:val="0"/>
        <w:spacing w:before="240" w:after="240" w:line="240" w:lineRule="auto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Inicialmente verifica-se que o projeto se encontra em conformidade com artigo 30, incisos I e II da Constituição Federal, uma vez que se trata de assunto de interesse local, suplementando legislações dos demais entes da federação:</w:t>
      </w:r>
    </w:p>
    <w:p>
      <w:pPr>
        <w:pStyle w:val="BodyText"/>
        <w:shd w:val="clear" w:color="auto" w:fill="FFFFFF"/>
        <w:bidi w:val="0"/>
        <w:spacing w:before="200" w:after="0" w:line="240" w:lineRule="auto"/>
        <w:ind w:left="2880" w:right="0" w:firstLine="580"/>
        <w:jc w:val="both"/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“</w:t>
      </w: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Art. 30. Compete aos Municípios:</w:t>
      </w:r>
    </w:p>
    <w:p>
      <w:pPr>
        <w:pStyle w:val="BodyText"/>
        <w:shd w:val="clear" w:color="auto" w:fill="FFFFFF"/>
        <w:bidi w:val="0"/>
        <w:spacing w:before="0" w:after="200" w:line="240" w:lineRule="auto"/>
        <w:ind w:left="2880" w:right="0" w:firstLine="580"/>
        <w:jc w:val="both"/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 - legislar sobre assuntos de interesse local;</w:t>
      </w:r>
    </w:p>
    <w:p>
      <w:pPr>
        <w:pStyle w:val="BodyText"/>
        <w:shd w:val="clear" w:color="auto" w:fill="FFFFFF"/>
        <w:bidi w:val="0"/>
        <w:spacing w:before="0" w:after="200" w:line="240" w:lineRule="auto"/>
        <w:ind w:left="2880" w:right="0" w:firstLine="580"/>
        <w:jc w:val="both"/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 - suplementar a legislação federal e a estadual no que couber</w:t>
      </w:r>
    </w:p>
    <w:p>
      <w:pPr>
        <w:pStyle w:val="BodyText"/>
        <w:shd w:val="clear" w:color="auto" w:fill="FFFFFF"/>
        <w:bidi w:val="0"/>
        <w:spacing w:before="0" w:after="200" w:line="240" w:lineRule="auto"/>
        <w:ind w:right="0" w:firstLine="0"/>
        <w:jc w:val="both"/>
      </w:pPr>
      <w:r>
        <w:tab/>
      </w:r>
      <w:r>
        <w:rPr>
          <w:rFonts w:ascii="Calibri" w:hAnsi="Calibri"/>
          <w:sz w:val="26"/>
          <w:szCs w:val="26"/>
        </w:rPr>
        <w:t>Concomitantemente, a matéria principal da propositura se encontra elencada dentro da definição de competência comum entre a União, Estado, Distrito Federal e Municípios, conforme Art. 23 da Constituição Federal:</w:t>
      </w:r>
    </w:p>
    <w:p>
      <w:pPr>
        <w:pStyle w:val="BodyText"/>
        <w:shd w:val="clear" w:color="auto" w:fill="FFFFFF"/>
        <w:bidi w:val="0"/>
        <w:spacing w:before="200" w:after="0" w:line="240" w:lineRule="auto"/>
        <w:ind w:left="0" w:right="0" w:firstLine="58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ab/>
        <w:tab/>
        <w:tab/>
        <w:tab/>
        <w:t>“</w:t>
      </w:r>
      <w:r>
        <w:rPr>
          <w:rFonts w:ascii="Arial;sans-serif" w:hAnsi="Arial;sans-serif"/>
          <w:b w:val="0"/>
          <w:i w:val="0"/>
          <w:caps w:val="0"/>
          <w:smallCaps w:val="0"/>
          <w:color w:val="000000"/>
          <w:spacing w:val="0"/>
          <w:sz w:val="20"/>
          <w:szCs w:val="26"/>
        </w:rPr>
        <w:t>VII - preservar as florestas, a fauna e a flora;</w:t>
      </w:r>
      <w:r>
        <w:rPr>
          <w:rFonts w:ascii="Calibri" w:hAnsi="Calibri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”</w:t>
      </w:r>
    </w:p>
    <w:p>
      <w:pPr>
        <w:pStyle w:val="BodyText"/>
        <w:shd w:val="clear" w:color="auto" w:fill="FFFFFF"/>
        <w:bidi w:val="0"/>
        <w:spacing w:before="200" w:after="0" w:line="240" w:lineRule="auto"/>
        <w:ind w:left="0" w:right="0" w:firstLine="580"/>
        <w:jc w:val="both"/>
        <w:rPr>
          <w:rFonts w:ascii="Calibri" w:hAnsi="Calibri"/>
          <w:sz w:val="26"/>
          <w:szCs w:val="26"/>
        </w:rPr>
      </w:pPr>
    </w:p>
    <w:p>
      <w:pPr>
        <w:pStyle w:val="BodyText"/>
        <w:shd w:val="clear" w:color="auto" w:fill="FFFFFF"/>
        <w:bidi w:val="0"/>
        <w:spacing w:before="0" w:after="200" w:line="240" w:lineRule="auto"/>
        <w:ind w:left="0" w:right="0" w:firstLine="58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Ainda sobre o Meio Ambiente, o Art. 225 da Constituição Federal, impõe que é de responsabilidade do Poder Público:</w:t>
      </w:r>
    </w:p>
    <w:p>
      <w:pPr>
        <w:pStyle w:val="BodyText"/>
        <w:shd w:val="clear" w:color="auto" w:fill="FFFFFF"/>
        <w:bidi w:val="0"/>
        <w:spacing w:before="0" w:after="200" w:line="240" w:lineRule="auto"/>
        <w:ind w:left="0" w:right="0" w:firstLine="58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effect w:val="none"/>
          <w:shd w:val="clear" w:color="auto" w:fill="auto"/>
        </w:rPr>
        <w:tab/>
        <w:tab/>
        <w:tab/>
        <w:tab/>
        <w:tab/>
        <w:t>“</w:t>
      </w:r>
      <w:r>
        <w:rPr>
          <w:rFonts w:ascii="Arial;sans-serif" w:hAnsi="Arial;sans-serif"/>
          <w:b w:val="0"/>
          <w:i w:val="0"/>
          <w:caps w:val="0"/>
          <w:smallCaps w:val="0"/>
          <w:strike w:val="0"/>
          <w:dstrike w:val="0"/>
          <w:color w:val="000000"/>
          <w:spacing w:val="0"/>
          <w:sz w:val="20"/>
          <w:szCs w:val="26"/>
          <w:u w:val="none"/>
          <w:effect w:val="none"/>
          <w:shd w:val="clear" w:color="auto" w:fill="auto"/>
        </w:rPr>
        <w:t>VII - proteger a fauna e a flora, vedadas, na forma da lei, as práticas que coloquem em risco sua função ecológica, provoquem a extinção de espécies ou submetam os animais a crueldade.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effect w:val="none"/>
          <w:shd w:val="clear" w:color="auto" w:fill="auto"/>
        </w:rPr>
        <w:t>”</w:t>
      </w:r>
    </w:p>
    <w:p>
      <w:pPr>
        <w:pStyle w:val="BodyText"/>
        <w:shd w:val="clear" w:color="auto" w:fill="FFFFFF"/>
        <w:bidi w:val="0"/>
        <w:spacing w:before="0" w:after="200" w:line="240" w:lineRule="auto"/>
        <w:ind w:left="0" w:right="0" w:firstLine="58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Dessa forma, vale enfatizar que se insere na competência comum dos Entes federados proteger o meio ambiente e a fauna e que todos têm direito ao meio ambiente equilibrado, impondo-se ao Poder Público e à coletividade o dever de defendê-lo e preservá-lo para as presentes e futuras gerações.</w:t>
      </w:r>
    </w:p>
    <w:p>
      <w:pPr>
        <w:pStyle w:val="BodyText"/>
        <w:shd w:val="clear" w:color="auto" w:fill="FFFFFF"/>
        <w:bidi w:val="0"/>
        <w:spacing w:before="0" w:after="200" w:line="240" w:lineRule="auto"/>
        <w:ind w:left="0" w:right="0" w:firstLine="58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Do mesmo modo, a disposição da Propositura se enquadra no art. 12, incisos I, II, XIII e principalmente XXX  da Lei Orgânica do Município de Mogi Mirim</w:t>
      </w:r>
    </w:p>
    <w:p>
      <w:pPr>
        <w:shd w:val="clear" w:color="auto" w:fill="FFFFFF"/>
        <w:bidi w:val="0"/>
        <w:spacing w:before="200" w:after="0" w:line="240" w:lineRule="auto"/>
        <w:ind w:left="3600" w:right="0" w:firstLine="580"/>
        <w:jc w:val="left"/>
        <w:rPr>
          <w:rFonts w:ascii="Calibri" w:hAnsi="Calibri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shd w:val="clear" w:color="auto" w:fill="FFFFFF"/>
        <w:bidi w:val="0"/>
        <w:spacing w:before="200" w:after="0" w:line="240" w:lineRule="auto"/>
        <w:ind w:left="3600" w:right="0" w:firstLine="580"/>
        <w:jc w:val="both"/>
        <w:rPr>
          <w:rFonts w:ascii="Calibri" w:hAnsi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b w:val="0"/>
          <w:bCs w:val="0"/>
          <w:i/>
          <w:iCs/>
          <w:sz w:val="24"/>
          <w:szCs w:val="24"/>
        </w:rPr>
        <w:t>“</w:t>
      </w:r>
      <w:r>
        <w:rPr>
          <w:rFonts w:ascii="Calibri" w:hAnsi="Calibri"/>
          <w:b w:val="0"/>
          <w:bCs w:val="0"/>
          <w:i/>
          <w:iCs/>
          <w:sz w:val="24"/>
          <w:szCs w:val="24"/>
        </w:rPr>
        <w:t>Art. 12. Ao Município compete prover tudo quanto diga respeito ao seu peculiar interesse e ao bem-estar de sua população, cabendo-lhe, privativamente, dentre outras, as seguintes atribuições:</w:t>
      </w:r>
    </w:p>
    <w:p>
      <w:pPr>
        <w:shd w:val="clear" w:color="auto" w:fill="FFFFFF"/>
        <w:bidi w:val="0"/>
        <w:spacing w:before="200" w:after="0" w:line="240" w:lineRule="auto"/>
        <w:ind w:left="3600" w:right="0" w:firstLine="580"/>
        <w:jc w:val="both"/>
        <w:rPr>
          <w:rFonts w:ascii="Calibri" w:hAnsi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b w:val="0"/>
          <w:bCs w:val="0"/>
          <w:i/>
          <w:iCs/>
          <w:sz w:val="24"/>
          <w:szCs w:val="24"/>
        </w:rPr>
        <w:t>I – legislar sobre assuntos de interesse local, na área urbana e rural;</w:t>
      </w:r>
    </w:p>
    <w:p>
      <w:pPr>
        <w:shd w:val="clear" w:color="auto" w:fill="FFFFFF"/>
        <w:bidi w:val="0"/>
        <w:spacing w:before="200" w:after="0" w:line="240" w:lineRule="auto"/>
        <w:ind w:left="3600" w:right="0" w:firstLine="580"/>
        <w:jc w:val="both"/>
        <w:rPr>
          <w:rFonts w:ascii="Calibri" w:hAnsi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b w:val="0"/>
          <w:bCs w:val="0"/>
          <w:i/>
          <w:iCs/>
          <w:sz w:val="24"/>
          <w:szCs w:val="24"/>
        </w:rPr>
        <w:t>II – suplementar a legislação Federal e a Estadual, no que couber;</w:t>
      </w:r>
    </w:p>
    <w:p>
      <w:pPr>
        <w:shd w:val="clear" w:color="auto" w:fill="FFFFFF"/>
        <w:bidi w:val="0"/>
        <w:spacing w:before="200" w:after="0" w:line="240" w:lineRule="auto"/>
        <w:ind w:left="3600" w:right="0" w:firstLine="580"/>
        <w:jc w:val="both"/>
        <w:rPr>
          <w:rFonts w:ascii="Calibri" w:hAnsi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b w:val="0"/>
          <w:bCs w:val="0"/>
          <w:i/>
          <w:iCs/>
          <w:sz w:val="24"/>
          <w:szCs w:val="24"/>
        </w:rPr>
        <w:t>[…]</w:t>
      </w:r>
    </w:p>
    <w:p>
      <w:pPr>
        <w:shd w:val="clear" w:color="auto" w:fill="FFFFFF"/>
        <w:bidi w:val="0"/>
        <w:spacing w:before="200" w:after="0" w:line="240" w:lineRule="auto"/>
        <w:ind w:left="3600" w:right="0" w:firstLine="580"/>
        <w:jc w:val="both"/>
        <w:rPr>
          <w:rFonts w:ascii="Calibri" w:hAnsi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b w:val="0"/>
          <w:bCs w:val="0"/>
          <w:i/>
          <w:iCs/>
          <w:sz w:val="24"/>
          <w:szCs w:val="24"/>
        </w:rPr>
        <w:t>XIII - planejar o uso e a ocupação do solo em seu território, em zona urbana e rural, estabelecendo normas de edificação, de loteamento, de arruamento e de zoneamento urbano e rural bem como as limitações urbanísticas convenientes à ordenação do seu território, observado o estatuto da cidade;</w:t>
      </w:r>
    </w:p>
    <w:p>
      <w:pPr>
        <w:shd w:val="clear" w:color="auto" w:fill="FFFFFF"/>
        <w:bidi w:val="0"/>
        <w:spacing w:before="200" w:after="0" w:line="240" w:lineRule="auto"/>
        <w:ind w:left="3600" w:right="0" w:firstLine="580"/>
        <w:jc w:val="both"/>
        <w:rPr>
          <w:rFonts w:ascii="Calibri" w:hAnsi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b w:val="0"/>
          <w:bCs w:val="0"/>
          <w:i/>
          <w:iCs/>
          <w:sz w:val="24"/>
          <w:szCs w:val="24"/>
        </w:rPr>
        <w:t>[…]</w:t>
      </w:r>
    </w:p>
    <w:p>
      <w:pPr>
        <w:shd w:val="clear" w:color="auto" w:fill="FFFFFF"/>
        <w:bidi w:val="0"/>
        <w:spacing w:before="200" w:after="0" w:line="240" w:lineRule="auto"/>
        <w:ind w:left="3600" w:right="0" w:firstLine="580"/>
        <w:jc w:val="both"/>
        <w:rPr>
          <w:rFonts w:ascii="Calibri" w:hAnsi="Calibri"/>
          <w:b w:val="0"/>
          <w:bCs w:val="0"/>
          <w:i/>
          <w:iCs/>
          <w:sz w:val="24"/>
          <w:szCs w:val="24"/>
        </w:rPr>
      </w:pPr>
      <w:r>
        <w:rPr>
          <w:rFonts w:ascii="Calibri" w:hAnsi="Calibri"/>
          <w:b w:val="0"/>
          <w:bCs w:val="0"/>
          <w:i/>
          <w:iCs/>
          <w:sz w:val="24"/>
          <w:szCs w:val="24"/>
        </w:rPr>
        <w:t xml:space="preserve">XXX – dispor sobre registro, vacinação, captura e destinação de animais, </w:t>
      </w:r>
      <w:r>
        <w:rPr>
          <w:rFonts w:ascii="Calibri" w:hAnsi="Calibri"/>
          <w:b w:val="0"/>
          <w:bCs w:val="0"/>
          <w:i/>
          <w:iCs/>
          <w:sz w:val="24"/>
          <w:szCs w:val="24"/>
          <w:u w:val="none"/>
        </w:rPr>
        <w:t>bem como a criação destes na zona urbana.”</w:t>
      </w:r>
      <w:r>
        <w:rPr>
          <w:rFonts w:ascii="Calibri" w:hAnsi="Calibri"/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Desta forma, verificamos que o município possui atribuição legal para legislar de maneira geral sobre o assunto ora em análise, em consonância com a Constituição Federal e Lei Orgânica do Município.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O Projeto de Lei da vereadora Sônia Regina Rodrigues Módena também faz referência a outros temas que vem sendo tratados em matérias que já tramitam nesta Casa de Leis, como no Artigo 15.</w:t>
      </w:r>
    </w:p>
    <w:p>
      <w:pPr>
        <w:pStyle w:val="BodyText"/>
        <w:bidi w:val="0"/>
        <w:spacing w:before="240" w:after="240" w:line="240" w:lineRule="auto"/>
        <w:ind w:left="2124" w:right="0" w:firstLine="720"/>
        <w:jc w:val="both"/>
        <w:rPr>
          <w:b w:val="0"/>
          <w:i w:val="0"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240" w:line="240" w:lineRule="auto"/>
        <w:ind w:left="2124" w:right="0" w:firstLine="720"/>
        <w:jc w:val="both"/>
        <w:rPr>
          <w:b w:val="0"/>
          <w:i w:val="0"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rFonts w:ascii="Calibri" w:hAnsi="Calibri"/>
          <w:i/>
          <w:iCs/>
          <w:sz w:val="26"/>
          <w:szCs w:val="26"/>
        </w:rPr>
      </w:pPr>
      <w:r>
        <w:rPr>
          <w:rFonts w:ascii="Calibri" w:hAnsi="Calibri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“</w:t>
      </w:r>
      <w:r>
        <w:rPr>
          <w:rFonts w:ascii="Calibri" w:hAnsi="Calibri"/>
          <w:b w:val="0"/>
          <w:bCs w:val="0"/>
          <w:i/>
          <w:iCs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Art.15. “</w:t>
      </w:r>
      <w:r>
        <w:rPr>
          <w:rFonts w:ascii="Calibri" w:hAnsi="Calibri"/>
          <w:b w:val="0"/>
          <w:bCs w:val="0"/>
          <w:i/>
          <w:iCs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effect w:val="none"/>
          <w:shd w:val="clear" w:color="auto" w:fill="auto"/>
        </w:rPr>
        <w:t>É vedada a</w:t>
      </w:r>
      <w:r>
        <w:rPr>
          <w:rFonts w:ascii="Calibri" w:hAnsi="Calibri"/>
          <w:b w:val="0"/>
          <w:i/>
          <w:iCs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effect w:val="none"/>
          <w:shd w:val="clear" w:color="auto" w:fill="auto"/>
        </w:rPr>
        <w:t xml:space="preserve"> criação de animais de grande porte dentro do perímetro urbano de Mogi Mirim. </w:t>
      </w:r>
      <w:r>
        <w:rPr>
          <w:rFonts w:ascii="Calibri" w:hAnsi="Calibri"/>
          <w:b w:val="0"/>
          <w:i/>
          <w:iCs/>
          <w:caps w:val="0"/>
          <w:smallCaps w:val="0"/>
          <w:color w:val="000000"/>
          <w:spacing w:val="0"/>
          <w:sz w:val="26"/>
          <w:szCs w:val="26"/>
        </w:rPr>
        <w:t>Parágrafo único. Consideram-se animais de grande porte aqueles pertencentes às espécies equina, muar, asinina, caprina, suína, ovina e bovina.”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sz w:val="26"/>
        </w:rPr>
      </w:pPr>
      <w:r>
        <w:rPr>
          <w:rFonts w:ascii="Calibri" w:hAnsi="Calibri"/>
          <w:sz w:val="26"/>
          <w:szCs w:val="26"/>
        </w:rPr>
        <w:t xml:space="preserve">E também no Artigo 13 do referido Projeto de Lei, cujo tema é a microchipagem.  </w:t>
      </w:r>
    </w:p>
    <w:p>
      <w:pPr>
        <w:pStyle w:val="BodyText"/>
        <w:bidi w:val="0"/>
        <w:spacing w:before="240" w:after="240" w:line="240" w:lineRule="auto"/>
        <w:ind w:left="3540" w:right="0" w:firstLine="0"/>
        <w:jc w:val="both"/>
        <w:rPr>
          <w:rFonts w:ascii="Calibri" w:hAnsi="Calibri"/>
          <w:i/>
          <w:iCs/>
          <w:sz w:val="26"/>
        </w:rPr>
      </w:pPr>
      <w:r>
        <w:rPr>
          <w:rFonts w:ascii="Calibri" w:hAnsi="Calibri"/>
          <w:b w:val="0"/>
          <w:bCs w:val="0"/>
          <w:i/>
          <w:iCs/>
          <w:caps w:val="0"/>
          <w:smallCaps w:val="0"/>
          <w:color w:val="000000"/>
          <w:spacing w:val="0"/>
          <w:sz w:val="26"/>
          <w:szCs w:val="26"/>
        </w:rPr>
        <w:t>“</w:t>
      </w:r>
      <w:r>
        <w:rPr>
          <w:rFonts w:ascii="Calibri" w:hAnsi="Calibri"/>
          <w:b w:val="0"/>
          <w:bCs w:val="0"/>
          <w:i/>
          <w:iCs/>
          <w:caps w:val="0"/>
          <w:smallCaps w:val="0"/>
          <w:color w:val="000000"/>
          <w:spacing w:val="0"/>
          <w:sz w:val="26"/>
          <w:szCs w:val="26"/>
        </w:rPr>
        <w:t xml:space="preserve">Art. 13. Na constatação de maus-tratos aos animais: I- Os animais serão </w:t>
      </w:r>
      <w:r>
        <w:rPr>
          <w:rFonts w:ascii="Calibri" w:hAnsi="Calibri"/>
          <w:b w:val="0"/>
          <w:i/>
          <w:iCs/>
          <w:caps w:val="0"/>
          <w:smallCaps w:val="0"/>
          <w:color w:val="000000"/>
          <w:spacing w:val="0"/>
          <w:sz w:val="26"/>
          <w:szCs w:val="26"/>
        </w:rPr>
        <w:t>microchipados e fotografados no ato da fiscalização ou após sua melhoria física ou mental;”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Ambos os temas são tratados em projetos diferentes nessa Casa de Leis ( PL 138/2021 e PL 113/2022), mas são mencionados na matéria em questão e tramitam pelas demais Comissões Permanentes, tendo recebido pareceres favoráveis dessa Comissão Permanente de Justiça e Redação. 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Entretanto, no que se refere às penalidades previstas no PL 02/2022, cabe destacar que a lei nacional nº 9.605/1998 que dispõe sobre as sanções penais e administrativas derivadas de condutas e atividade lesivas ao meio ambiente” já contempla sanções de ordem pecuniária (multa) ou pena restritiva de direitos, em razão da prática de atos de maus-tratos e abusos a animais silvestres, domésticos, nativos ou exóticos.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Neste caso, o ideal seria que a referida matéria visasse coibir/regular as situações abusivas de maus-tratos em animais cometidas no município, tipificando-a como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single"/>
          <w:effect w:val="none"/>
          <w:shd w:val="clear" w:color="auto" w:fill="auto"/>
        </w:rPr>
        <w:t xml:space="preserve">ilícitos administrativos e fixar as correspondentes e proporcionais sanções administrativas municipais. 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A instituição de sanção/pena restritiva de direitos é matéria reservada à legislação penal de competência privativa da União,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conforme a Constituição da Pública. 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 </w:t>
      </w:r>
    </w:p>
    <w:p>
      <w:pPr>
        <w:pStyle w:val="BodyText"/>
        <w:bidi w:val="0"/>
        <w:spacing w:before="240" w:after="240" w:line="240" w:lineRule="auto"/>
        <w:ind w:left="2832" w:right="0" w:firstLine="0"/>
        <w:jc w:val="both"/>
      </w:pPr>
      <w:r>
        <w:rPr>
          <w:rStyle w:val="nfaseforte"/>
          <w:rFonts w:ascii="Calibri" w:hAnsi="Calibri"/>
          <w:b w:val="0"/>
          <w:bCs w:val="0"/>
          <w:i/>
          <w:iCs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effect w:val="none"/>
          <w:shd w:val="clear" w:color="auto" w:fill="auto"/>
        </w:rPr>
        <w:tab/>
        <w:t>Art. 22.</w:t>
      </w:r>
      <w:r>
        <w:rPr>
          <w:rFonts w:ascii="Calibri" w:hAnsi="Calibri"/>
          <w:b w:val="0"/>
          <w:bCs w:val="0"/>
          <w:i/>
          <w:iCs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effect w:val="none"/>
          <w:shd w:val="clear" w:color="auto" w:fill="auto"/>
        </w:rPr>
        <w:t> C</w:t>
      </w:r>
      <w:r>
        <w:rPr>
          <w:rFonts w:ascii="Calibri" w:hAnsi="Calibri"/>
          <w:b w:val="0"/>
          <w:i/>
          <w:iCs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effect w:val="none"/>
          <w:shd w:val="clear" w:color="auto" w:fill="auto"/>
        </w:rPr>
        <w:t>ompete privativamente à União legislar sobre:</w:t>
      </w:r>
    </w:p>
    <w:p>
      <w:pPr>
        <w:widowControl/>
        <w:spacing w:before="120" w:after="140"/>
        <w:ind w:left="3540" w:right="0" w:firstLine="0"/>
      </w:pPr>
      <w:r>
        <w:rPr>
          <w:rStyle w:val="nfaseforte"/>
          <w:rFonts w:ascii="Calibri" w:hAnsi="Calibri"/>
          <w:b/>
          <w:i/>
          <w:iCs/>
          <w:caps w:val="0"/>
          <w:smallCaps w:val="0"/>
          <w:spacing w:val="0"/>
          <w:sz w:val="26"/>
          <w:szCs w:val="26"/>
        </w:rPr>
        <w:t>I</w:t>
      </w:r>
      <w:r>
        <w:rPr>
          <w:rFonts w:ascii="Calibri" w:hAnsi="Calibri"/>
          <w:b w:val="0"/>
          <w:i/>
          <w:iCs/>
          <w:caps w:val="0"/>
          <w:smallCaps w:val="0"/>
          <w:spacing w:val="0"/>
          <w:sz w:val="26"/>
          <w:szCs w:val="26"/>
        </w:rPr>
        <w:t> - direito civil, comercial, penal, processual, eleitoral, agrário, marítimo, aeronáutico, espacial e do trabalho;</w:t>
      </w:r>
    </w:p>
    <w:p>
      <w:pPr>
        <w:pStyle w:val="BodyText"/>
        <w:bidi w:val="0"/>
        <w:spacing w:before="240" w:after="240" w:line="240" w:lineRule="auto"/>
        <w:ind w:left="2832" w:right="0" w:firstLine="720"/>
        <w:jc w:val="both"/>
        <w:rPr>
          <w:rFonts w:ascii="Calibri" w:hAnsi="Calibri"/>
          <w:i/>
          <w:iCs/>
          <w:sz w:val="26"/>
          <w:szCs w:val="26"/>
        </w:rPr>
      </w:pPr>
    </w:p>
    <w:p>
      <w:pPr>
        <w:pStyle w:val="BodyText"/>
        <w:bidi w:val="0"/>
        <w:spacing w:before="240" w:after="240" w:line="240" w:lineRule="auto"/>
        <w:ind w:left="0" w:right="0" w:firstLine="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  <w:r>
        <w:rPr>
          <w:rFonts w:ascii="Calibri" w:hAnsi="Calibri"/>
          <w:b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Desta forma, para que não haja conflitos de interpretação, e partindo do princípio que trata-se de uma competência legislativa supletiva, há possibilidade legal de que tais ações ou omissões que configurem ilícitos penais contra a fauna sejam legalmente consideradas </w:t>
      </w:r>
      <w:r>
        <w:rPr>
          <w:rFonts w:ascii="Calibri" w:hAnsi="Calibri"/>
          <w:b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single"/>
          <w:effect w:val="none"/>
          <w:shd w:val="clear" w:color="auto" w:fill="auto"/>
        </w:rPr>
        <w:t>infrações administrativas</w:t>
      </w:r>
      <w:r>
        <w:rPr>
          <w:rFonts w:ascii="Calibri" w:hAnsi="Calibri"/>
          <w:b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 xml:space="preserve">, sujeitando os infratores a sanções administrativas de exclusiva competência municipal, como multa, suspensão e cassação de alvarás ou licenças municipais de funcionamento, sem prejuízo de outras sanções civis ou penais previstas em Legislação Federal. 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Recomendamos, contudo, que o Art. 3º, inciso III do parágrafo 7º da proposição seja alterado, pois trata das sanções restritivas de direito e da “proibição de contratar com a Administração Pública” como uma das penalidades aplicadas aos infratores. Contudo, o inciso XXVII do Art. 22 da Constituição Federal outorga competência privativa à União legislar sobre normas gerais de licitação e contratação pública.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Diante de todo exposto, considerando a competência concorrente sobre o tema, ressalvando os pontos em destaque, não se verifica óbices para continuidade da proposta.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III. Substitutivos, Emendas ou subemendas ao Projeto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Esta relatoria propõe que seja apresentada uma emenda supressiva ao parágrafo sétimo, inciso III do Art. 3º, com base nos argumentos já apontados, e renumerados os artigos seguintes.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IV. Decisão da Relatora</w:t>
      </w: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  <w:sz w:val="26"/>
          <w:szCs w:val="26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  <w:t>P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 xml:space="preserve">ortanto, esta Relatoria considera que a presente propositura não apresenta vícios de constitucionalidade, recebendo parecer </w:t>
      </w:r>
      <w:r>
        <w:rPr>
          <w:rFonts w:ascii="Calibri" w:hAnsi="Calibri"/>
          <w:b/>
          <w:bCs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FAVORÁVEL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</w:pP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FFFFFF"/>
        </w:rPr>
        <w:t>Sala das Comissões, em 3 de novembro de 2022.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color w:val="000000"/>
          <w:sz w:val="26"/>
          <w:szCs w:val="26"/>
          <w:u w:val="singl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color w:val="000000"/>
          <w:sz w:val="26"/>
          <w:szCs w:val="26"/>
          <w:u w:val="single"/>
          <w:shd w:val="clear" w:color="auto" w:fill="auto"/>
        </w:rPr>
      </w:pPr>
      <w:r>
        <w:rPr>
          <w:rFonts w:ascii="Calibri" w:hAnsi="Calibri"/>
          <w:b/>
          <w:i w:val="0"/>
          <w:caps w:val="0"/>
          <w:smallCaps w:val="0"/>
          <w:color w:val="000000"/>
          <w:sz w:val="26"/>
          <w:szCs w:val="26"/>
          <w:u w:val="single"/>
          <w:shd w:val="clear" w:color="auto" w:fill="auto"/>
        </w:rPr>
        <w:t>COMISSÃO DE JUSTIÇA E REDAÇÃO</w:t>
      </w:r>
    </w:p>
    <w:p>
      <w:pPr>
        <w:pStyle w:val="BodyText"/>
        <w:spacing w:line="240" w:lineRule="auto"/>
        <w:rPr>
          <w:rFonts w:ascii="Calibri" w:hAnsi="Calibri"/>
          <w:sz w:val="26"/>
          <w:szCs w:val="26"/>
        </w:rPr>
      </w:pPr>
    </w:p>
    <w:p>
      <w:pPr>
        <w:pStyle w:val="BodyText"/>
        <w:spacing w:line="240" w:lineRule="auto"/>
        <w:rPr>
          <w:rFonts w:ascii="Calibri" w:hAnsi="Calibri"/>
          <w:sz w:val="26"/>
          <w:szCs w:val="26"/>
        </w:rPr>
      </w:pPr>
    </w:p>
    <w:p>
      <w:pPr>
        <w:pStyle w:val="BodyText"/>
        <w:bidi w:val="0"/>
        <w:spacing w:before="240" w:after="0" w:line="240" w:lineRule="auto"/>
        <w:jc w:val="center"/>
        <w:rPr>
          <w:sz w:val="28"/>
          <w:szCs w:val="28"/>
        </w:rPr>
      </w:pP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8"/>
          <w:szCs w:val="28"/>
          <w:u w:val="none"/>
          <w:effect w:val="none"/>
          <w:shd w:val="clear" w:color="auto" w:fill="auto"/>
        </w:rPr>
        <w:t>Vereadora Dra. Lúcia Maria Ferreira Tenório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Calibri" w:hAnsi="Calibri"/>
          <w:sz w:val="26"/>
          <w:szCs w:val="26"/>
        </w:rPr>
      </w:pPr>
      <w:bookmarkStart w:id="1" w:name="docs-internal-guid-4f89cce7-7fff-8e94-16"/>
      <w:bookmarkEnd w:id="1"/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>PARECER FAVORÁVEL DA COMISSÃO DE JUSTIÇA E REDAÇÃO</w:t>
      </w:r>
    </w:p>
    <w:p>
      <w:pPr>
        <w:pStyle w:val="BodyText"/>
        <w:bidi w:val="0"/>
        <w:spacing w:before="240" w:after="0" w:line="240" w:lineRule="auto"/>
        <w:jc w:val="both"/>
        <w:rPr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Calibri" w:hAnsi="Calibri"/>
          <w:b w:val="0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 xml:space="preserve">Seguindo o Voto exarado pela Relatora e conforme determina o artigo 35 da Resolução n.º 276 de 09 de novembro de 2.010, a Comissão de Justiça e Redação formaliza o presente </w:t>
      </w:r>
      <w:r>
        <w:rPr>
          <w:rFonts w:ascii="Calibri" w:hAnsi="Calibri"/>
          <w:b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>PARECER FAVORÁVEL</w:t>
      </w: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>.</w:t>
      </w:r>
    </w:p>
    <w:p>
      <w:pPr>
        <w:pStyle w:val="BodyText"/>
        <w:bidi w:val="0"/>
        <w:spacing w:before="240" w:after="0" w:line="240" w:lineRule="auto"/>
        <w:jc w:val="center"/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FFFFFF"/>
        </w:rPr>
      </w:pPr>
      <w:r>
        <w:rPr>
          <w:rFonts w:ascii="Calibri" w:hAnsi="Calibri"/>
          <w:b w:val="0"/>
          <w:i w:val="0"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FFFFFF"/>
        </w:rPr>
        <w:t>Sala das Comissões, em 3 de novembro de 2022</w:t>
      </w:r>
    </w:p>
    <w:p>
      <w:pPr>
        <w:pStyle w:val="BodyText"/>
        <w:spacing w:line="240" w:lineRule="auto"/>
      </w:pPr>
      <w:r>
        <w:br/>
      </w:r>
    </w:p>
    <w:p>
      <w:pPr>
        <w:spacing w:line="240" w:lineRule="auto"/>
        <w:jc w:val="center"/>
        <w:rPr>
          <w:rFonts w:cs="Arial"/>
          <w:b/>
          <w:bCs/>
          <w:color w:val="000000"/>
          <w:u w:val="single"/>
          <w:shd w:val="clear" w:color="auto" w:fill="FFFFFF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JOÃO VICTOR GASPARINI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color w:val="000000"/>
          <w:sz w:val="26"/>
          <w:szCs w:val="26"/>
          <w:shd w:val="clear" w:color="auto" w:fill="FFFFFF"/>
        </w:rPr>
        <w:t xml:space="preserve">Presidente 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 MARA CRISTINA CHOQUETTA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color w:val="000000"/>
          <w:sz w:val="26"/>
          <w:szCs w:val="26"/>
          <w:shd w:val="clear" w:color="auto" w:fill="FFFFFF"/>
        </w:rPr>
        <w:t>Vice – presidente</w:t>
      </w: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</w:p>
    <w:p>
      <w:pPr>
        <w:spacing w:before="0" w:after="240" w:line="24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 DRA. LÚCIA MARIA FERREIRA TENÓRIO</w:t>
      </w:r>
    </w:p>
    <w:p>
      <w:pPr>
        <w:spacing w:line="24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color w:val="000000"/>
          <w:sz w:val="26"/>
          <w:szCs w:val="26"/>
          <w:shd w:val="clear" w:color="auto" w:fill="FFFFFF"/>
        </w:rPr>
        <w:t>Membro relatora </w:t>
      </w: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spacing w:before="240" w:after="240" w:line="240" w:lineRule="auto"/>
        <w:contextualSpacing/>
        <w:jc w:val="center"/>
        <w:rPr>
          <w:rFonts w:ascii="Calibri" w:hAnsi="Calibri"/>
          <w:sz w:val="26"/>
          <w:szCs w:val="26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SUPRESSIVA N.º 01 AO PROJETO DE LEI  02 DE 2022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Arial" w:hAnsi="Arial" w:cs="Arial"/>
          <w:sz w:val="24"/>
          <w:szCs w:val="24"/>
          <w:lang w:val="pt-PT"/>
        </w:rPr>
        <w:t xml:space="preserve">Suprime-se o inciso III do </w:t>
      </w:r>
      <w:r>
        <w:rPr>
          <w:rFonts w:cs="Arial"/>
          <w:b w:val="0"/>
          <w:i w:val="0"/>
          <w:caps w:val="0"/>
          <w:smallCaps w:val="0"/>
          <w:color w:val="000000"/>
          <w:spacing w:val="0"/>
          <w:sz w:val="28"/>
          <w:szCs w:val="24"/>
          <w:lang w:val="pt-PT"/>
        </w:rPr>
        <w:t>§</w:t>
      </w:r>
      <w:r>
        <w:rPr>
          <w:rFonts w:ascii="Arial" w:hAnsi="Arial" w:cs="Arial"/>
          <w:sz w:val="24"/>
          <w:szCs w:val="24"/>
          <w:lang w:val="pt-PT"/>
        </w:rPr>
        <w:t xml:space="preserve"> 7 º do Art .3º, renumerando-se os demais. </w:t>
      </w:r>
    </w:p>
    <w:p>
      <w:pPr>
        <w:jc w:val="both"/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Sala das Sessões “Vereador Santo Rótolli”, 03 de novembro de 2022.</w:t>
      </w:r>
    </w:p>
    <w:p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  <w:tab/>
      </w:r>
    </w:p>
    <w:p>
      <w:pPr>
        <w:jc w:val="both"/>
        <w:rPr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ab/>
        <w:t>VEREADORA DRA. LÚCIA MARIA FERREIRA TENÓRIO</w:t>
      </w:r>
    </w:p>
    <w:p>
      <w:pPr>
        <w:jc w:val="both"/>
        <w:rPr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ab/>
        <w:tab/>
      </w:r>
      <w:r>
        <w:rPr>
          <w:sz w:val="24"/>
          <w:szCs w:val="24"/>
          <w:lang w:val="pt-PT"/>
        </w:rPr>
        <w:tab/>
      </w: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jc w:val="center"/>
        <w:rPr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JUSTIFICATIVA</w:t>
      </w:r>
    </w:p>
    <w:p>
      <w:pPr>
        <w:jc w:val="center"/>
        <w:rPr>
          <w:b/>
          <w:bCs/>
          <w:sz w:val="24"/>
          <w:szCs w:val="24"/>
          <w:lang w:val="pt-PT"/>
        </w:rPr>
      </w:pP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b w:val="0"/>
          <w:i w:val="0"/>
          <w:iCs w:val="0"/>
          <w:caps w:val="0"/>
          <w:smallCaps w:val="0"/>
          <w:strike w:val="0"/>
          <w:dstrike w:val="0"/>
          <w:color w:val="000000"/>
          <w:sz w:val="28"/>
          <w:szCs w:val="28"/>
          <w:u w:val="none"/>
          <w:effect w:val="none"/>
          <w:shd w:val="clear" w:color="auto" w:fill="auto"/>
        </w:rPr>
        <w:t>Faz-se necessário que o Art. 3º, inciso III do parágrafo 7º da proposição ora em análise – Projeto de Lei 02/2022 - seja alterado por tratar-se de um tema de competência privativa da União, que é legislar sobre normas gerais de licitação e contratação pública.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b w:val="0"/>
          <w:i w:val="0"/>
          <w:iCs w:val="0"/>
          <w:caps w:val="0"/>
          <w:smallCaps w:val="0"/>
          <w:strike w:val="0"/>
          <w:dstrike w:val="0"/>
          <w:color w:val="000000"/>
          <w:sz w:val="28"/>
          <w:szCs w:val="28"/>
          <w:u w:val="none"/>
          <w:effect w:val="none"/>
          <w:shd w:val="clear" w:color="auto" w:fill="auto"/>
        </w:rPr>
        <w:t>Desta feita, o referido trecho apresenta-se em desconformidade com o inciso XXVII do Art. 22 da Constituição Federal, pois trata de sanções restritivas de direito e da “proibição de contratar com a Administração Pública” como uma das penalidades aplicadas aos que provocarem maus-tratos e abusos aos animais.</w:t>
      </w: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b w:val="0"/>
          <w:i w:val="0"/>
          <w:iCs w:val="0"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240" w:line="240" w:lineRule="auto"/>
        <w:ind w:left="0" w:right="0" w:firstLine="720"/>
        <w:jc w:val="both"/>
        <w:rPr>
          <w:b w:val="0"/>
          <w:i w:val="0"/>
          <w:iCs w:val="0"/>
          <w:caps w:val="0"/>
          <w:smallCaps w:val="0"/>
          <w:strike w:val="0"/>
          <w:dstrike w:val="0"/>
          <w:color w:val="000000"/>
          <w:u w:val="none"/>
          <w:effect w:val="none"/>
          <w:shd w:val="clear" w:color="auto" w:fill="auto"/>
        </w:rPr>
      </w:pPr>
    </w:p>
    <w:p>
      <w:pPr>
        <w:jc w:val="both"/>
        <w:rPr>
          <w:rFonts w:ascii="Times New Roman" w:hAnsi="Times New Roman"/>
          <w:sz w:val="28"/>
          <w:szCs w:val="28"/>
          <w:lang w:val="pt-PT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spacing w:before="240" w:after="240" w:line="240" w:lineRule="auto"/>
        <w:contextualSpacing/>
        <w:jc w:val="both"/>
        <w:rPr>
          <w:rFonts w:ascii="Calibri" w:hAnsi="Calibri"/>
          <w:sz w:val="26"/>
          <w:szCs w:val="26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altName w:val="sans-serif"/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>
      <w:rPr>
        <w:rFonts w:ascii="Bookman Old Style" w:hAnsi="Bookman Old Style"/>
        <w:b/>
        <w:sz w:val="18"/>
      </w:rPr>
      <w:t>7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67058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24548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223E3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  <w:rsid w:val="005101CC"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firstLine="0"/>
      <w:contextualSpacing/>
    </w:pPr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customStyle="1" w:styleId="Textoembloco1">
    <w:name w:val="Texto em bloco1"/>
    <w:basedOn w:val="Normal"/>
    <w:qFormat/>
    <w:rsid w:val="00ED0D92"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16384</TotalTime>
  <Pages>7</Pages>
  <Words>1253</Words>
  <Characters>6825</Characters>
  <Application>Microsoft Office Word</Application>
  <DocSecurity>0</DocSecurity>
  <Lines>0</Lines>
  <Paragraphs>73</Paragraphs>
  <ScaleCrop>false</ScaleCrop>
  <Company>Camara Municipal</Company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138</cp:revision>
  <cp:lastPrinted>2022-11-03T13:09:33Z</cp:lastPrinted>
  <dcterms:created xsi:type="dcterms:W3CDTF">2022-02-17T15:51:00Z</dcterms:created>
  <dcterms:modified xsi:type="dcterms:W3CDTF">2022-11-03T13:24:04Z</dcterms:modified>
  <dc:language>pt-BR</dc:language>
</cp:coreProperties>
</file>