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jc w:val="center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b/>
          <w:bCs/>
          <w:color w:val="000000"/>
          <w:sz w:val="26"/>
          <w:szCs w:val="26"/>
        </w:rPr>
        <w:t xml:space="preserve"> </w:t>
      </w:r>
      <w:r>
        <w:rPr>
          <w:rFonts w:cs="Arial" w:ascii="Calibri" w:hAnsi="Calibri"/>
          <w:b/>
          <w:bCs/>
          <w:color w:val="000000"/>
          <w:sz w:val="26"/>
          <w:szCs w:val="26"/>
        </w:rPr>
        <w:t>RELATÓRIO</w:t>
      </w:r>
    </w:p>
    <w:p>
      <w:pPr>
        <w:pStyle w:val="Normal"/>
        <w:spacing w:before="0"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br/>
      </w:r>
      <w:bookmarkStart w:id="0" w:name="docs-internal-guid-6dc14b50-7fff-3068-6d"/>
      <w:bookmarkEnd w:id="0"/>
      <w:r>
        <w:rPr>
          <w:rFonts w:cs="Arial" w:ascii="Calibri" w:hAnsi="Calibri"/>
          <w:b/>
          <w:bCs/>
          <w:iCs/>
          <w:color w:val="000000"/>
          <w:sz w:val="26"/>
          <w:szCs w:val="26"/>
          <w:shd w:fill="FFFFFF" w:val="clear"/>
        </w:rPr>
        <w:t>Projeto de Lei Complementar nº 13/2022</w:t>
      </w:r>
    </w:p>
    <w:p>
      <w:pPr>
        <w:pStyle w:val="Corpodotexto"/>
        <w:spacing w:lineRule="auto" w:line="240" w:before="0" w:after="0"/>
        <w:contextualSpacing/>
        <w:rPr>
          <w:rFonts w:ascii="Calibri" w:hAnsi="Calibri"/>
          <w:b/>
          <w:b/>
          <w:color w:val="000000"/>
          <w:sz w:val="26"/>
          <w:szCs w:val="26"/>
        </w:rPr>
      </w:pPr>
      <w:r>
        <w:rPr>
          <w:rFonts w:ascii="Calibri" w:hAnsi="Calibri"/>
          <w:b/>
          <w:color w:val="000000"/>
          <w:sz w:val="26"/>
          <w:szCs w:val="26"/>
        </w:rPr>
        <w:t>Processo nº 247/2022</w:t>
      </w:r>
    </w:p>
    <w:p>
      <w:pPr>
        <w:pStyle w:val="Corpodotexto"/>
        <w:spacing w:lineRule="auto" w:line="240" w:before="240" w:after="0"/>
        <w:jc w:val="both"/>
        <w:rPr>
          <w:rFonts w:ascii="Calibri" w:hAnsi="Calibri"/>
          <w:b/>
          <w:b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ab/>
        <w:t xml:space="preserve">Conforme determina o artigo 35 da Resolução 276 de 09 de novembro de 2010 – Regimento Interno da Câmara Municipal - a Comissão Permanente de Justiça e Redação emite o presente Relatório acerca do Projeto de Lei Complementar nº 13/2022, de autoria da Mesa Diretora da Câmara Municipal, sob relatoria da </w:t>
      </w:r>
      <w:r>
        <w:rPr>
          <w:rFonts w:ascii="Calibri" w:hAnsi="Calibri"/>
          <w:b/>
          <w:color w:val="000000"/>
          <w:sz w:val="26"/>
          <w:szCs w:val="26"/>
        </w:rPr>
        <w:t>Vereadora Mara Cristina Choquetta</w:t>
      </w:r>
    </w:p>
    <w:p>
      <w:pPr>
        <w:pStyle w:val="Corpodotexto"/>
        <w:spacing w:lineRule="auto" w:line="240" w:before="240" w:after="0"/>
        <w:jc w:val="both"/>
        <w:rPr>
          <w:rFonts w:ascii="Calibri" w:hAnsi="Calibri"/>
          <w:b/>
          <w:b/>
          <w:color w:val="000000"/>
          <w:sz w:val="26"/>
          <w:szCs w:val="26"/>
        </w:rPr>
      </w:pPr>
      <w:r>
        <w:rPr>
          <w:rFonts w:ascii="Calibri" w:hAnsi="Calibri"/>
          <w:b/>
          <w:color w:val="000000"/>
          <w:sz w:val="26"/>
          <w:szCs w:val="26"/>
        </w:rPr>
        <w:t>I. Exposição da Matéria</w:t>
      </w:r>
    </w:p>
    <w:p>
      <w:pPr>
        <w:pStyle w:val="Corpodotexto"/>
        <w:spacing w:lineRule="auto" w:line="240" w:before="240" w:after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ab/>
        <w:t>A Mesa Diretora da Câmara Municipal protocolou nesta Casa de Leis o Projeto de Lei Complementar nº 13/2022, que “</w:t>
      </w:r>
      <w:r>
        <w:rPr>
          <w:rFonts w:ascii="Calibri" w:hAnsi="Calibri"/>
          <w:b/>
          <w:bCs/>
          <w:color w:val="000000"/>
          <w:sz w:val="26"/>
          <w:szCs w:val="26"/>
        </w:rPr>
        <w:t>DISPÕE SOBRE CARGOS EM COMISSÃO, DE LIVRE NOMEAÇÃO E EXONERAÇÃO, NA CÂMARA MUNICIPAL DE MOGI MIRIM E DÁ OUTRAS PROVIDÊNCIAS</w:t>
      </w:r>
      <w:r>
        <w:rPr>
          <w:rFonts w:ascii="Calibri" w:hAnsi="Calibri"/>
          <w:b/>
          <w:color w:val="000000"/>
          <w:sz w:val="26"/>
          <w:szCs w:val="26"/>
        </w:rPr>
        <w:t>”</w:t>
      </w:r>
    </w:p>
    <w:p>
      <w:pPr>
        <w:pStyle w:val="Corpodotexto"/>
        <w:spacing w:lineRule="auto" w:line="240" w:before="240" w:after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ab/>
        <w:t>Os autores propõem uma mudança na atual Lei Complementar que regula e versa sobre os servidores alocados na Câmara, no regime de Cargo em Comissão.</w:t>
      </w:r>
    </w:p>
    <w:p>
      <w:pPr>
        <w:pStyle w:val="Corpodotexto"/>
        <w:spacing w:lineRule="auto" w:line="240" w:before="240" w:after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ab/>
        <w:t>Entre as principais alterações propostas está a consolidação da exigência legal, de que o candidato a ser nomeado ao cargo de livre nomeação, deva minimamente possuir a escolaridade de Nível Superior Completo, devendo, para tanto, apresentar até o final desse exercício, o certificado de conclusão do curso.</w:t>
      </w:r>
    </w:p>
    <w:p>
      <w:pPr>
        <w:pStyle w:val="Corpodotexto"/>
        <w:spacing w:lineRule="auto" w:line="240" w:before="240" w:after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ab/>
        <w:t>Outra mudança proposta é a obrigatoriedade dos servidores neste regime, procederem à marcação mecânica, eletrônica, ou digital de ponto diário, como medida de controle de frequência da jornada de trabalho diário do colaborador.</w:t>
      </w:r>
    </w:p>
    <w:p>
      <w:pPr>
        <w:pStyle w:val="Corpodotexto"/>
        <w:spacing w:lineRule="auto" w:line="240" w:before="240" w:after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ab/>
        <w:t>Segundo argumentos dos autores, as mudanças propostas são justificáveis pois o Egrégio Tribunal de Contas do Estado de São Paulo - TCE/SP tem feito constantes apontamentos das contas dos Presidentes anteriores, cobrando providências sobre  tais itens, conforme anexo aos autos.</w:t>
      </w:r>
    </w:p>
    <w:p>
      <w:pPr>
        <w:pStyle w:val="Corpodotexto"/>
        <w:spacing w:lineRule="auto" w:line="240" w:before="240" w:after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color w:val="000000"/>
          <w:sz w:val="26"/>
          <w:szCs w:val="26"/>
        </w:rPr>
        <w:t>II. Do mérito e conclusões da relatora</w:t>
      </w:r>
      <w:r>
        <w:rPr>
          <w:rFonts w:ascii="Calibri" w:hAnsi="Calibri"/>
          <w:color w:val="000000"/>
          <w:sz w:val="26"/>
          <w:szCs w:val="26"/>
        </w:rPr>
        <w:t> </w:t>
      </w:r>
    </w:p>
    <w:p>
      <w:pPr>
        <w:pStyle w:val="Corpodotexto"/>
        <w:spacing w:lineRule="auto" w:line="240" w:before="240" w:after="240"/>
        <w:jc w:val="both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ab/>
        <w:t>Inicialmente verifica-se que o projeto se encontra em conformidade com artigo 30, inciso I, da Constituição Federal, uma vez que se trata de assunto de interesse local:</w:t>
      </w:r>
    </w:p>
    <w:p>
      <w:pPr>
        <w:pStyle w:val="Corpodotexto"/>
        <w:shd w:val="clear" w:color="auto" w:fill="FFFFFF"/>
        <w:spacing w:lineRule="auto" w:line="240" w:before="200" w:after="0"/>
        <w:ind w:left="3540" w:hanging="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“</w:t>
      </w:r>
      <w:r>
        <w:rPr>
          <w:rFonts w:ascii="Calibri" w:hAnsi="Calibri"/>
          <w:i/>
          <w:color w:val="000000"/>
          <w:sz w:val="24"/>
          <w:szCs w:val="24"/>
        </w:rPr>
        <w:t>Art. 30. Compete aos Municípios:</w:t>
      </w:r>
    </w:p>
    <w:p>
      <w:pPr>
        <w:pStyle w:val="Corpodotexto"/>
        <w:shd w:val="clear" w:color="auto" w:fill="FFFFFF"/>
        <w:spacing w:lineRule="auto" w:line="240" w:before="0" w:after="200"/>
        <w:ind w:left="3540" w:hanging="0"/>
        <w:jc w:val="both"/>
        <w:rPr>
          <w:rFonts w:ascii="Calibri" w:hAnsi="Calibri"/>
          <w:i/>
          <w:i/>
          <w:color w:val="000000"/>
          <w:sz w:val="26"/>
          <w:szCs w:val="26"/>
        </w:rPr>
      </w:pPr>
      <w:r>
        <w:rPr>
          <w:rFonts w:ascii="Calibri" w:hAnsi="Calibri"/>
          <w:i/>
          <w:color w:val="000000"/>
          <w:sz w:val="24"/>
          <w:szCs w:val="24"/>
        </w:rPr>
        <w:t>I - legislar sobre assuntos de interesse local;</w:t>
      </w:r>
    </w:p>
    <w:p>
      <w:pPr>
        <w:pStyle w:val="Corpodotexto"/>
        <w:spacing w:lineRule="auto" w:line="240" w:before="240" w:after="240"/>
        <w:ind w:firstLine="720"/>
        <w:jc w:val="both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>De modo complementar, a Lei Orgânica do município prevê que cabe ao município legislar privativamente sobre:</w:t>
      </w:r>
    </w:p>
    <w:p>
      <w:pPr>
        <w:pStyle w:val="Corpodotexto"/>
        <w:spacing w:lineRule="auto" w:line="240" w:before="240" w:after="240"/>
        <w:ind w:left="3540" w:hanging="0"/>
        <w:jc w:val="both"/>
        <w:rPr>
          <w:i/>
          <w:i/>
          <w:iCs/>
          <w:sz w:val="24"/>
          <w:szCs w:val="24"/>
        </w:rPr>
      </w:pPr>
      <w:r>
        <w:rPr>
          <w:rFonts w:ascii="Calibri" w:hAnsi="Calibri"/>
          <w:i/>
          <w:iCs/>
          <w:color w:val="000000"/>
          <w:sz w:val="24"/>
          <w:szCs w:val="24"/>
        </w:rPr>
        <w:t>“</w:t>
      </w:r>
      <w:r>
        <w:rPr>
          <w:rFonts w:ascii="Calibri" w:hAnsi="Calibri"/>
          <w:i/>
          <w:iCs/>
          <w:color w:val="000000"/>
          <w:sz w:val="24"/>
          <w:szCs w:val="24"/>
        </w:rPr>
        <w:t>Art. 12. Ao Município compete prover tudo quanto diga respeito ao seu peculiar interesse e ao bem-estar de sua população, cabendo-lhe, privativamente, dentre outras, as seguintes atribuições:</w:t>
      </w:r>
    </w:p>
    <w:p>
      <w:pPr>
        <w:pStyle w:val="Corpodotexto"/>
        <w:spacing w:lineRule="auto" w:line="240" w:before="240" w:after="240"/>
        <w:ind w:left="3540" w:hanging="0"/>
        <w:jc w:val="both"/>
        <w:rPr>
          <w:i/>
          <w:i/>
          <w:iCs/>
          <w:sz w:val="24"/>
          <w:szCs w:val="24"/>
        </w:rPr>
      </w:pPr>
      <w:r>
        <w:rPr>
          <w:rFonts w:ascii="Calibri" w:hAnsi="Calibri"/>
          <w:i/>
          <w:iCs/>
          <w:color w:val="000000"/>
          <w:sz w:val="24"/>
          <w:szCs w:val="24"/>
        </w:rPr>
        <w:t>[...]</w:t>
      </w:r>
    </w:p>
    <w:p>
      <w:pPr>
        <w:pStyle w:val="Corpodotexto"/>
        <w:spacing w:lineRule="auto" w:line="240" w:before="240" w:after="240"/>
        <w:ind w:left="3540" w:hanging="0"/>
        <w:jc w:val="both"/>
        <w:rPr>
          <w:i/>
          <w:i/>
          <w:iCs/>
          <w:sz w:val="24"/>
          <w:szCs w:val="24"/>
        </w:rPr>
      </w:pPr>
      <w:r>
        <w:rPr>
          <w:rFonts w:ascii="Calibri" w:hAnsi="Calibri"/>
          <w:i/>
          <w:iCs/>
          <w:color w:val="000000"/>
          <w:sz w:val="24"/>
          <w:szCs w:val="24"/>
          <w:u w:val="single"/>
        </w:rPr>
        <w:t>XI – organizar o quadro</w:t>
      </w:r>
      <w:r>
        <w:rPr>
          <w:rFonts w:ascii="Calibri" w:hAnsi="Calibri"/>
          <w:i/>
          <w:iCs/>
          <w:color w:val="000000"/>
          <w:sz w:val="24"/>
          <w:szCs w:val="24"/>
        </w:rPr>
        <w:t xml:space="preserve"> e estabelecer regime jurídico único dos servidores municipais;”</w:t>
      </w:r>
    </w:p>
    <w:p>
      <w:pPr>
        <w:pStyle w:val="Corpodotexto"/>
        <w:spacing w:lineRule="auto" w:line="240" w:before="240" w:after="240"/>
        <w:ind w:firstLine="720"/>
        <w:jc w:val="both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>No tocante à iniciativa para deflagrar o processo legislativo, a Lei Orgânica reserva iniciativa exclusiva à Mesa Câmara sobre matéria pertinente aos cargos e funções da Câmara. Citamos:</w:t>
      </w:r>
    </w:p>
    <w:p>
      <w:pPr>
        <w:pStyle w:val="Corpodotexto"/>
        <w:spacing w:lineRule="auto" w:line="240" w:before="240" w:after="240"/>
        <w:ind w:left="3540" w:hanging="0"/>
        <w:jc w:val="both"/>
        <w:rPr>
          <w:i/>
          <w:i/>
          <w:iCs/>
          <w:sz w:val="24"/>
          <w:szCs w:val="24"/>
        </w:rPr>
      </w:pPr>
      <w:r>
        <w:rPr>
          <w:rFonts w:ascii="Calibri" w:hAnsi="Calibri"/>
          <w:i/>
          <w:iCs/>
          <w:color w:val="000000"/>
          <w:sz w:val="24"/>
          <w:szCs w:val="24"/>
        </w:rPr>
        <w:t>“</w:t>
      </w:r>
      <w:r>
        <w:rPr>
          <w:rFonts w:ascii="Calibri" w:hAnsi="Calibri"/>
          <w:i/>
          <w:iCs/>
          <w:color w:val="000000"/>
          <w:sz w:val="24"/>
          <w:szCs w:val="24"/>
        </w:rPr>
        <w:t>Art. 52. É de competência exclusiva da Mesa da Câmara a iniciativa dos projetos que dispõem sobre:</w:t>
      </w:r>
    </w:p>
    <w:p>
      <w:pPr>
        <w:pStyle w:val="Corpodotexto"/>
        <w:spacing w:lineRule="auto" w:line="240" w:before="240" w:after="240"/>
        <w:ind w:left="3540" w:hanging="0"/>
        <w:jc w:val="both"/>
        <w:rPr>
          <w:i/>
          <w:i/>
          <w:iCs/>
          <w:sz w:val="24"/>
          <w:szCs w:val="24"/>
        </w:rPr>
      </w:pPr>
      <w:r>
        <w:rPr>
          <w:rFonts w:ascii="Calibri" w:hAnsi="Calibri"/>
          <w:i/>
          <w:iCs/>
          <w:color w:val="000000"/>
          <w:sz w:val="24"/>
          <w:szCs w:val="24"/>
        </w:rPr>
        <w:t>[...]</w:t>
      </w:r>
    </w:p>
    <w:p>
      <w:pPr>
        <w:pStyle w:val="Corpodotexto"/>
        <w:spacing w:lineRule="auto" w:line="240" w:before="240" w:after="240"/>
        <w:ind w:left="3540" w:hanging="0"/>
        <w:jc w:val="both"/>
        <w:rPr>
          <w:i/>
          <w:i/>
          <w:iCs/>
          <w:sz w:val="24"/>
          <w:szCs w:val="24"/>
        </w:rPr>
      </w:pPr>
      <w:r>
        <w:rPr>
          <w:rFonts w:ascii="Calibri" w:hAnsi="Calibri"/>
          <w:i/>
          <w:iCs/>
          <w:color w:val="000000"/>
          <w:sz w:val="24"/>
          <w:szCs w:val="24"/>
        </w:rPr>
        <w:t>III – criação, transformação ou extinção dos cargos, empregos ou funções da Câmara e fixação da respectiva remuneração.”</w:t>
      </w:r>
    </w:p>
    <w:p>
      <w:pPr>
        <w:pStyle w:val="Corpodotexto"/>
        <w:spacing w:lineRule="auto" w:line="240" w:before="240" w:after="240"/>
        <w:ind w:hanging="0"/>
        <w:jc w:val="both"/>
        <w:rPr/>
      </w:pPr>
      <w:r>
        <w:rPr/>
        <w:tab/>
      </w:r>
      <w:r>
        <w:rPr>
          <w:rFonts w:ascii="Calibri" w:hAnsi="Calibri"/>
          <w:color w:val="000000"/>
          <w:sz w:val="26"/>
          <w:szCs w:val="26"/>
        </w:rPr>
        <w:t>Considerando o retro exposto, verifica-se que o município possui competência para legislar sobre a matéria, assim como, a Mesa Diretora possui atribuição para legislar sobre o assunto.</w:t>
      </w:r>
    </w:p>
    <w:p>
      <w:pPr>
        <w:pStyle w:val="Corpodotexto"/>
        <w:spacing w:lineRule="auto" w:line="240" w:before="240" w:after="240"/>
        <w:ind w:firstLine="720"/>
        <w:jc w:val="both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>No que diz respeito à proposta, se faz necessário esclarecer que os cargos de livre nomeação e exoneração são previsto</w:t>
      </w:r>
      <w:r>
        <w:rPr>
          <w:rFonts w:ascii="Calibri" w:hAnsi="Calibri"/>
          <w:color w:val="000000"/>
          <w:sz w:val="26"/>
          <w:szCs w:val="26"/>
        </w:rPr>
        <w:t>s</w:t>
      </w:r>
      <w:r>
        <w:rPr>
          <w:rFonts w:ascii="Calibri" w:hAnsi="Calibri"/>
          <w:color w:val="000000"/>
          <w:sz w:val="26"/>
          <w:szCs w:val="26"/>
        </w:rPr>
        <w:t xml:space="preserve"> na Constituição Federal, como uma função de confiança, e, portanto, dispensado o ingresso por meio de concurso público. A Constituição estabelece ainda, que a função de confiança, deve ser destinado às atribuições de direção, chefia e assessoramento.</w:t>
      </w:r>
    </w:p>
    <w:p>
      <w:pPr>
        <w:pStyle w:val="Corpodotexto"/>
        <w:spacing w:lineRule="auto" w:line="240" w:before="240" w:after="240"/>
        <w:ind w:left="3540" w:hanging="0"/>
        <w:jc w:val="both"/>
        <w:rPr>
          <w:i/>
          <w:i/>
          <w:iCs/>
        </w:rPr>
      </w:pPr>
      <w:r>
        <w:rPr>
          <w:rFonts w:ascii="Calibri" w:hAnsi="Calibri"/>
          <w:i/>
          <w:iCs/>
          <w:color w:val="000000"/>
          <w:sz w:val="26"/>
          <w:szCs w:val="26"/>
        </w:rPr>
        <w:t xml:space="preserve">Art. 37. A administração pública direta e indireta de qualquer dos Poderes da União, dos Estados, do Distrito Federal e dos Municípios obedecerá aos princípios de legalidade, impessoalidade, moralidade, publicidade e eficiência e, também, ao seguinte:  </w:t>
      </w:r>
    </w:p>
    <w:p>
      <w:pPr>
        <w:pStyle w:val="Corpodotexto"/>
        <w:spacing w:lineRule="auto" w:line="240" w:before="240" w:after="240"/>
        <w:ind w:left="3540" w:hanging="0"/>
        <w:jc w:val="both"/>
        <w:rPr>
          <w:i/>
          <w:i/>
          <w:iCs/>
        </w:rPr>
      </w:pPr>
      <w:r>
        <w:rPr>
          <w:rFonts w:ascii="Calibri" w:hAnsi="Calibri"/>
          <w:i/>
          <w:iCs/>
          <w:color w:val="000000"/>
          <w:sz w:val="26"/>
          <w:szCs w:val="26"/>
        </w:rPr>
        <w:t xml:space="preserve">[…] </w:t>
      </w:r>
    </w:p>
    <w:p>
      <w:pPr>
        <w:pStyle w:val="Corpodotexto"/>
        <w:spacing w:lineRule="auto" w:line="240" w:before="240" w:after="240"/>
        <w:ind w:left="3540" w:hanging="0"/>
        <w:jc w:val="both"/>
        <w:rPr>
          <w:i/>
          <w:i/>
          <w:iCs/>
        </w:rPr>
      </w:pPr>
      <w:r>
        <w:rPr>
          <w:rFonts w:ascii="Calibri" w:hAnsi="Calibri"/>
          <w:i/>
          <w:iCs/>
          <w:color w:val="000000"/>
          <w:sz w:val="26"/>
          <w:szCs w:val="26"/>
        </w:rPr>
        <w:t xml:space="preserve">II - a investidura em cargo ou emprego público depende de aprovação prévia em concurso público de provas ou de provas e títulos, de acordo com a natureza e a complexidade do cargo ou emprego, na forma prevista em lei, </w:t>
      </w:r>
      <w:r>
        <w:rPr>
          <w:rFonts w:ascii="Calibri" w:hAnsi="Calibri"/>
          <w:i/>
          <w:iCs/>
          <w:color w:val="000000"/>
          <w:sz w:val="26"/>
          <w:szCs w:val="26"/>
          <w:u w:val="single"/>
        </w:rPr>
        <w:t>ressalvadas as nomeações para cargo em comissão declarado em lei de livre nomeação e exoneração</w:t>
      </w:r>
      <w:r>
        <w:rPr>
          <w:rFonts w:ascii="Calibri" w:hAnsi="Calibri"/>
          <w:i/>
          <w:iCs/>
          <w:color w:val="000000"/>
          <w:sz w:val="26"/>
          <w:szCs w:val="26"/>
        </w:rPr>
        <w:t xml:space="preserve">; </w:t>
      </w:r>
    </w:p>
    <w:p>
      <w:pPr>
        <w:pStyle w:val="Corpodotexto"/>
        <w:spacing w:lineRule="auto" w:line="240" w:before="240" w:after="240"/>
        <w:ind w:left="3540" w:hanging="0"/>
        <w:jc w:val="both"/>
        <w:rPr>
          <w:i/>
          <w:i/>
          <w:iCs/>
        </w:rPr>
      </w:pPr>
      <w:r>
        <w:rPr>
          <w:rFonts w:ascii="Calibri" w:hAnsi="Calibri"/>
          <w:i/>
          <w:iCs/>
          <w:color w:val="000000"/>
          <w:sz w:val="26"/>
          <w:szCs w:val="26"/>
        </w:rPr>
        <w:t>[…]</w:t>
      </w:r>
    </w:p>
    <w:p>
      <w:pPr>
        <w:pStyle w:val="Corpodotexto"/>
        <w:spacing w:lineRule="auto" w:line="240" w:before="240" w:after="240"/>
        <w:ind w:left="3540" w:hanging="0"/>
        <w:jc w:val="both"/>
        <w:rPr>
          <w:i/>
          <w:i/>
          <w:iCs/>
        </w:rPr>
      </w:pPr>
      <w:r>
        <w:rPr>
          <w:rFonts w:ascii="Calibri" w:hAnsi="Calibri"/>
          <w:i/>
          <w:iCs/>
          <w:color w:val="000000"/>
          <w:sz w:val="26"/>
          <w:szCs w:val="26"/>
        </w:rPr>
        <w:t xml:space="preserve">V - as funções de confiança, exercidas exclusivamente por servidores ocupantes de cargo efetivo, e os cargos em comissão, a serem preenchidos por servidores de carreira nos casos, condições e percentuais mínimos previstos em lei, destinam-se apenas </w:t>
      </w:r>
      <w:r>
        <w:rPr>
          <w:rFonts w:ascii="Calibri" w:hAnsi="Calibri"/>
          <w:i/>
          <w:iCs/>
          <w:color w:val="000000"/>
          <w:sz w:val="26"/>
          <w:szCs w:val="26"/>
          <w:u w:val="single"/>
        </w:rPr>
        <w:t>às atribuições de direção, chefia e assessoramento;”</w:t>
      </w:r>
      <w:r>
        <w:rPr>
          <w:rFonts w:ascii="Calibri" w:hAnsi="Calibri"/>
          <w:i/>
          <w:iCs/>
          <w:color w:val="000000"/>
          <w:sz w:val="26"/>
          <w:szCs w:val="26"/>
        </w:rPr>
        <w:t xml:space="preserve">  </w:t>
      </w:r>
    </w:p>
    <w:p>
      <w:pPr>
        <w:pStyle w:val="Corpodotexto"/>
        <w:spacing w:lineRule="auto" w:line="240" w:before="240" w:after="240"/>
        <w:ind w:firstLine="720"/>
        <w:jc w:val="both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>Desta forma, resta claro que apenas algumas funções podem possuir o regime de livre nomeação.</w:t>
      </w:r>
    </w:p>
    <w:p>
      <w:pPr>
        <w:pStyle w:val="Corpodotexto"/>
        <w:spacing w:lineRule="auto" w:line="240" w:before="240" w:after="240"/>
        <w:ind w:firstLine="720"/>
        <w:jc w:val="both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 xml:space="preserve"> </w:t>
      </w:r>
      <w:r>
        <w:rPr>
          <w:rFonts w:ascii="Calibri" w:hAnsi="Calibri"/>
          <w:color w:val="000000"/>
          <w:sz w:val="26"/>
          <w:szCs w:val="26"/>
        </w:rPr>
        <w:t xml:space="preserve">Diante das atribuições e responsabilidades do cargo, é consolidado dentro dos tribunais e nas doutrinas, o entendimento de que os titulares deste cargo devem possuir minimamente escolaridade de grau superior, tendo em vista que suas funções estão ligadas a assuntos de alta complexidade para administração pública, como elaboração e/ou execução de ações de planejamento estratégico, não podendo se limitar a ações meramente burocráticas e administrativas. </w:t>
      </w:r>
    </w:p>
    <w:p>
      <w:pPr>
        <w:pStyle w:val="Corpodotexto"/>
        <w:spacing w:lineRule="auto" w:line="240" w:before="240" w:after="240"/>
        <w:ind w:firstLine="720"/>
        <w:jc w:val="both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 xml:space="preserve">Neste ponto, cabe destacar que a empresa que presta assessoria jurídica para Câmara (SGP – Soluções em Gestão Pública), elaborou uma manifestação bem completa discorrendo sobre o tema, identificando inúmeros entendimentos a respeito. </w:t>
      </w:r>
    </w:p>
    <w:p>
      <w:pPr>
        <w:pStyle w:val="Corpodotexto"/>
        <w:spacing w:lineRule="auto" w:line="240" w:before="240" w:after="240"/>
        <w:ind w:firstLine="720"/>
        <w:jc w:val="both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>O Tribunal de Contas do Estado – TCE/SP tem apontado constantemente nos relatórios de Prestação de Contas Anuais desta Câmara, a necessidade de que a Casa tome providências para corrigir o requisito de escolaridade dos cargos, tendo em vista que a legislação atual prevê que o nomeado obrigatoriamente deveria ter concluído o 2º grau (Ensino Médio).</w:t>
      </w:r>
    </w:p>
    <w:p>
      <w:pPr>
        <w:pStyle w:val="Corpodotexto"/>
        <w:spacing w:lineRule="auto" w:line="240" w:before="240" w:after="240"/>
        <w:ind w:firstLine="720"/>
        <w:jc w:val="both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>Tal apontamento se corrige com a aprovação do parágrafo 1º do art. 1º da presente propositura, que altera o nível de escolaridade, para curso superior.</w:t>
      </w:r>
    </w:p>
    <w:p>
      <w:pPr>
        <w:pStyle w:val="Corpodotexto"/>
        <w:spacing w:lineRule="auto" w:line="240" w:before="240" w:after="240"/>
        <w:ind w:firstLine="720"/>
        <w:jc w:val="both"/>
        <w:rPr>
          <w:rFonts w:ascii="Calibri" w:hAnsi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>Outra possível irregularidade apresentada pelo Tribunal, no relatório de fiscalização, referente ao exercício de 2021 (nesta Legislatura) está relacionada ao controle de frequência destes servidores. Ocorre que a jornada de trabalho é registrada mediante “Certidão de Presença” e folha ponto manual dos horários de entrada e saída, ambos referendados pelos Vereadores. Segundo o relatório, o Tribunal tem entendido “</w:t>
      </w:r>
      <w:r>
        <w:rPr>
          <w:rFonts w:cs="Calibri" w:ascii="Calibri" w:hAnsi="Calibri"/>
          <w:i/>
          <w:iCs/>
          <w:color w:val="000000"/>
          <w:sz w:val="26"/>
          <w:szCs w:val="26"/>
        </w:rPr>
        <w:t>Em que pese os ocupantes dos cargos em comissão estarem sujeitos ao regime integral de dedicação ao serviço, em respeito aos princípios de transparência, eficiência e isonomia, todos os servidores (comissão e efetivo) deveriam ter sua jornada laboral controlada através de sistema eletrônico de controle de ponto, preferencialmente biométrico” (trecho retirado do relatório TCE).</w:t>
      </w:r>
    </w:p>
    <w:p>
      <w:pPr>
        <w:pStyle w:val="Corpodotexto"/>
        <w:spacing w:lineRule="auto" w:line="240" w:before="240" w:after="240"/>
        <w:ind w:firstLine="720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i w:val="false"/>
          <w:iCs w:val="false"/>
          <w:color w:val="000000"/>
          <w:sz w:val="26"/>
          <w:szCs w:val="26"/>
        </w:rPr>
        <w:t>Desta forma, o relatório justifica que a Câmara precisaria implantar o mesmo controle de frequência adotado pelos servidores efetivos, a fim de manter isonomia entre os funcionários, além de proporcionar um maior controle de jornada dos assessores.</w:t>
      </w:r>
    </w:p>
    <w:p>
      <w:pPr>
        <w:pStyle w:val="Corpodotexto"/>
        <w:spacing w:lineRule="auto" w:line="240" w:before="240" w:after="240"/>
        <w:ind w:firstLine="720"/>
        <w:jc w:val="both"/>
        <w:rPr>
          <w:rFonts w:ascii="Calibri" w:hAnsi="Calibri"/>
          <w:color w:val="000000"/>
          <w:sz w:val="26"/>
          <w:szCs w:val="26"/>
        </w:rPr>
      </w:pPr>
      <w:r>
        <w:rPr>
          <w:rFonts w:cs="Calibri" w:ascii="Calibri" w:hAnsi="Calibri"/>
          <w:i w:val="false"/>
          <w:iCs w:val="false"/>
          <w:color w:val="000000"/>
          <w:sz w:val="26"/>
          <w:szCs w:val="26"/>
        </w:rPr>
        <w:t>Visando sanar a recomendação apresentada nas contas do exercício anterior, foi incluído no presente projeto, o parágrafo 3º do artigo 1º, onde se estipula a marcação mecânica, eletrônica ou digital de ponto diário dos servidores de cargo em comissão.</w:t>
      </w:r>
    </w:p>
    <w:p>
      <w:pPr>
        <w:pStyle w:val="Corpodotexto"/>
        <w:spacing w:lineRule="auto" w:line="240" w:before="240" w:after="240"/>
        <w:ind w:firstLine="720"/>
        <w:jc w:val="both"/>
        <w:rPr/>
      </w:pPr>
      <w:r>
        <w:rPr>
          <w:rFonts w:cs="Calibri" w:ascii="Calibri" w:hAnsi="Calibri"/>
          <w:i w:val="false"/>
          <w:iCs w:val="false"/>
          <w:color w:val="000000"/>
          <w:sz w:val="26"/>
          <w:szCs w:val="26"/>
        </w:rPr>
        <w:t>Neste contexto, vale citar que a Lei Federal nº 8.112/90 que estabelece o Regime Jurídico dos Servidores Públicos Civis da União, reforça o que se entende por regime integral de trabalho:</w:t>
      </w:r>
    </w:p>
    <w:p>
      <w:pPr>
        <w:pStyle w:val="Corpodotexto"/>
        <w:spacing w:lineRule="auto" w:line="240" w:before="240" w:after="240"/>
        <w:ind w:left="2832" w:firstLine="720"/>
        <w:jc w:val="both"/>
        <w:rPr>
          <w:i/>
          <w:i/>
          <w:iCs/>
        </w:rPr>
      </w:pPr>
      <w:r>
        <w:rPr>
          <w:rFonts w:cs="Calibri" w:ascii="Calibri" w:hAnsi="Calibri"/>
          <w:i/>
          <w:iCs/>
          <w:color w:val="000000"/>
          <w:sz w:val="26"/>
          <w:szCs w:val="26"/>
        </w:rPr>
        <w:t>“</w:t>
      </w:r>
      <w:r>
        <w:rPr>
          <w:rFonts w:cs="Calibri" w:ascii="Calibri" w:hAnsi="Calibri"/>
          <w:i/>
          <w:iCs/>
          <w:color w:val="000000"/>
          <w:sz w:val="26"/>
          <w:szCs w:val="26"/>
        </w:rPr>
        <w:t xml:space="preserve">Art. 19. Os servidores cumprirão jornada de trabalho fixada em razão das atribuições pertinentes aos respectivos cargos, respeitada a duração máxima do trabalho semanal de quarenta horas e observados os limites mínimo e máximo de seis horas e oito horas diárias, respectivamente. (Redação dada pela Lei nº 8.270, de 17.12.91) </w:t>
      </w:r>
    </w:p>
    <w:p>
      <w:pPr>
        <w:pStyle w:val="Corpodotexto"/>
        <w:spacing w:lineRule="auto" w:line="240" w:before="240" w:after="240"/>
        <w:ind w:left="2832" w:firstLine="720"/>
        <w:jc w:val="both"/>
        <w:rPr>
          <w:i/>
          <w:i/>
          <w:iCs/>
        </w:rPr>
      </w:pPr>
      <w:r>
        <w:rPr>
          <w:rFonts w:cs="Calibri" w:ascii="Calibri" w:hAnsi="Calibri"/>
          <w:i/>
          <w:iCs/>
          <w:color w:val="000000"/>
          <w:sz w:val="26"/>
          <w:szCs w:val="26"/>
        </w:rPr>
        <w:t>§ 1º O ocupante de cargo em comissão ou função de confiança submete-se a regime de integral dedicação ao serviço, observado o disposto no art. 120, podendo ser convocado sempre que houver interesse da Administração. (Redação dada pela Lei nº 9.527, de 10.12.97)”</w:t>
      </w:r>
    </w:p>
    <w:p>
      <w:pPr>
        <w:pStyle w:val="Corpodotexto"/>
        <w:spacing w:lineRule="auto" w:line="240" w:before="240" w:after="240"/>
        <w:ind w:firstLine="720"/>
        <w:jc w:val="both"/>
        <w:rPr>
          <w:rFonts w:ascii="Calibri" w:hAnsi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 xml:space="preserve">Isto é, devido à natureza do cargo, configurado como regime de integral dedicação, o ocupante do cargo pode ser convocado a qualquer momento, até  mesmo fora do horário de expediente, assim como em sábados, domingos e feriados para que exerça suas funções, no que for melhor ao interesse público. </w:t>
      </w:r>
    </w:p>
    <w:p>
      <w:pPr>
        <w:pStyle w:val="Corpodotexto"/>
        <w:spacing w:lineRule="auto" w:line="240" w:before="240" w:after="240"/>
        <w:ind w:firstLine="720"/>
        <w:jc w:val="both"/>
        <w:rPr>
          <w:rFonts w:ascii="Calibri" w:hAnsi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>Isto se torna ainda mais claro, quando observamos outras decisões judiciais, que se solidificam pela impossibilidade de recebimentos de horas extras ou compensação de horas, a estes servidores em caso de trabalho fora do horário de expediente.</w:t>
      </w:r>
    </w:p>
    <w:p>
      <w:pPr>
        <w:pStyle w:val="Corpodotexto"/>
        <w:spacing w:lineRule="auto" w:line="240" w:before="240" w:after="240"/>
        <w:ind w:firstLine="720"/>
        <w:jc w:val="both"/>
        <w:rPr>
          <w:rFonts w:ascii="Calibri" w:hAnsi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>Neste quesito, apesar da manifestação da Unidade Regional que fiscaliza esta Casa, encontramos outras manifestações e pareceres que questionam tal entendimento, conforme depositamos anexo. Destacamos a manifestação do Conselho Federal de Justiça, que na consulta nº 000028-12.2011.2.00.0000, exarou uma resposta que caracterizou que a natureza dos cargos disposto no art. 37, inciso II e V (função de confiança),</w:t>
      </w:r>
      <w:r>
        <w:rPr>
          <w:rFonts w:cs="Calibri" w:ascii="Calibri" w:hAnsi="Calibri"/>
          <w:color w:val="000000"/>
          <w:sz w:val="26"/>
          <w:szCs w:val="26"/>
          <w:u w:val="single"/>
        </w:rPr>
        <w:t xml:space="preserve"> os quais demandam disponibilidade e dedicação integral, é inconciliável com qualquer regime de registro e fiscalização de trabalho. </w:t>
      </w:r>
    </w:p>
    <w:p>
      <w:pPr>
        <w:pStyle w:val="Corpodotexto"/>
        <w:spacing w:lineRule="auto" w:line="240" w:before="240" w:after="240"/>
        <w:ind w:firstLine="720"/>
        <w:jc w:val="both"/>
        <w:rPr>
          <w:u w:val="none"/>
        </w:rPr>
      </w:pPr>
      <w:r>
        <w:rPr>
          <w:rFonts w:cs="Calibri" w:ascii="Calibri" w:hAnsi="Calibri"/>
          <w:color w:val="000000"/>
          <w:sz w:val="26"/>
          <w:szCs w:val="26"/>
          <w:u w:val="none"/>
        </w:rPr>
        <w:t>Em contraponto, mesmo que o entendimento não se encontre consolidado, não encontramos nenhum dispositivo legal que impeça que o ente público estabeleça tal controle de jornada, inclusive, identificamos que alguns municípios vizinhos têm adotado medidas parecidas.</w:t>
      </w:r>
    </w:p>
    <w:p>
      <w:pPr>
        <w:pStyle w:val="Corpodotexto"/>
        <w:spacing w:lineRule="auto" w:line="240" w:before="240" w:after="240"/>
        <w:ind w:firstLine="720"/>
        <w:jc w:val="both"/>
        <w:rPr>
          <w:u w:val="none"/>
        </w:rPr>
      </w:pPr>
      <w:r>
        <w:rPr>
          <w:rFonts w:cs="Calibri" w:ascii="Calibri" w:hAnsi="Calibri"/>
          <w:color w:val="000000"/>
          <w:sz w:val="26"/>
          <w:szCs w:val="26"/>
          <w:u w:val="none"/>
        </w:rPr>
        <w:t>Diante de todo exposto, considerando a legalidade do projeto de lei complementar, não encontramos óbices ao seu prosseguimento.</w:t>
      </w:r>
    </w:p>
    <w:p>
      <w:pPr>
        <w:pStyle w:val="Corpodotexto"/>
        <w:spacing w:lineRule="auto" w:line="240" w:before="240" w:after="0"/>
        <w:jc w:val="both"/>
        <w:rPr>
          <w:rFonts w:ascii="Calibri" w:hAnsi="Calibri"/>
          <w:b/>
          <w:b/>
          <w:color w:val="000000"/>
          <w:sz w:val="26"/>
          <w:szCs w:val="26"/>
        </w:rPr>
      </w:pPr>
      <w:r>
        <w:rPr>
          <w:rFonts w:ascii="Calibri" w:hAnsi="Calibri"/>
          <w:b/>
          <w:color w:val="000000"/>
          <w:sz w:val="26"/>
          <w:szCs w:val="26"/>
        </w:rPr>
        <w:t>III. Substitutivos, Emendas ou subemendas ao Projeto</w:t>
      </w:r>
    </w:p>
    <w:p>
      <w:pPr>
        <w:pStyle w:val="Corpodotexto"/>
        <w:spacing w:lineRule="auto" w:line="240" w:before="240" w:after="0"/>
        <w:jc w:val="both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ab/>
        <w:t xml:space="preserve">Em análise à redação do Projeto, identificamos que os artigos 2º e 4º apresentam uma unidade de articulação desconhecida ( - ) na norma de redação de leis, sendo que o texto dos mesmos deveriam estar grafados como </w:t>
      </w:r>
      <w:r>
        <w:rPr>
          <w:rFonts w:ascii="Calibri" w:hAnsi="Calibri"/>
          <w:color w:val="000000"/>
          <w:sz w:val="26"/>
          <w:szCs w:val="26"/>
        </w:rPr>
        <w:t>inciso</w:t>
      </w:r>
      <w:r>
        <w:rPr>
          <w:rFonts w:ascii="Calibri" w:hAnsi="Calibri"/>
          <w:color w:val="000000"/>
          <w:sz w:val="26"/>
          <w:szCs w:val="26"/>
        </w:rPr>
        <w:t>s, de acordo com a norma consolidada da elaboração dos atos públicos.</w:t>
      </w:r>
    </w:p>
    <w:p>
      <w:pPr>
        <w:pStyle w:val="Corpodotexto"/>
        <w:spacing w:lineRule="auto" w:line="240" w:before="240" w:after="0"/>
        <w:jc w:val="both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ab/>
        <w:t xml:space="preserve">Desta forma, propomos a apresentação de uma emenda </w:t>
      </w:r>
      <w:r>
        <w:rPr>
          <w:rFonts w:ascii="Calibri" w:hAnsi="Calibri"/>
          <w:color w:val="000000"/>
          <w:sz w:val="26"/>
          <w:szCs w:val="26"/>
        </w:rPr>
        <w:t>substitutiva</w:t>
      </w:r>
      <w:r>
        <w:rPr>
          <w:rFonts w:ascii="Calibri" w:hAnsi="Calibri"/>
          <w:color w:val="000000"/>
          <w:sz w:val="26"/>
          <w:szCs w:val="26"/>
        </w:rPr>
        <w:t xml:space="preserve"> para correção da unidade. </w:t>
      </w:r>
    </w:p>
    <w:p>
      <w:pPr>
        <w:pStyle w:val="Corpodotexto"/>
        <w:spacing w:lineRule="auto" w:line="240" w:before="240" w:after="0"/>
        <w:jc w:val="both"/>
        <w:rPr>
          <w:rFonts w:ascii="Calibri" w:hAnsi="Calibri"/>
          <w:b/>
          <w:b/>
          <w:color w:val="000000"/>
          <w:sz w:val="26"/>
          <w:szCs w:val="26"/>
        </w:rPr>
      </w:pPr>
      <w:r>
        <w:rPr>
          <w:rFonts w:ascii="Calibri" w:hAnsi="Calibri"/>
          <w:b/>
          <w:color w:val="000000"/>
          <w:sz w:val="26"/>
          <w:szCs w:val="26"/>
        </w:rPr>
        <w:t>IV. Decisão da Relatora</w:t>
      </w:r>
    </w:p>
    <w:p>
      <w:pPr>
        <w:pStyle w:val="Corpodotexto"/>
        <w:spacing w:lineRule="auto" w:line="240" w:before="240" w:after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ab/>
        <w:t>P</w:t>
      </w:r>
      <w:r>
        <w:rPr>
          <w:rFonts w:ascii="Calibri" w:hAnsi="Calibri"/>
          <w:color w:val="000000"/>
          <w:sz w:val="26"/>
          <w:szCs w:val="26"/>
          <w:shd w:fill="FFFFFF" w:val="clear"/>
        </w:rPr>
        <w:t xml:space="preserve">ortanto, esta Relatoria considera que a presente propositura não apresenta vícios de constitucionalidade, recebendo parecer </w:t>
      </w:r>
      <w:r>
        <w:rPr>
          <w:rFonts w:ascii="Calibri" w:hAnsi="Calibri"/>
          <w:b/>
          <w:color w:val="000000"/>
          <w:sz w:val="26"/>
          <w:szCs w:val="26"/>
          <w:shd w:fill="FFFFFF" w:val="clear"/>
        </w:rPr>
        <w:t>FAVORÁVEL</w:t>
      </w:r>
      <w:r>
        <w:rPr>
          <w:rFonts w:ascii="Calibri" w:hAnsi="Calibri"/>
          <w:color w:val="000000"/>
          <w:sz w:val="26"/>
          <w:szCs w:val="26"/>
        </w:rPr>
        <w:t>.</w:t>
      </w:r>
    </w:p>
    <w:p>
      <w:pPr>
        <w:pStyle w:val="Corpodotexto"/>
        <w:spacing w:lineRule="auto" w:line="240" w:before="240" w:after="0"/>
        <w:jc w:val="center"/>
        <w:rPr>
          <w:rFonts w:ascii="Calibri" w:hAnsi="Calibri"/>
          <w:color w:val="000000"/>
          <w:sz w:val="26"/>
          <w:szCs w:val="26"/>
          <w:shd w:fill="FFFFFF" w:val="clear"/>
        </w:rPr>
      </w:pPr>
      <w:r>
        <w:rPr>
          <w:rFonts w:ascii="Calibri" w:hAnsi="Calibri"/>
          <w:color w:val="000000"/>
          <w:sz w:val="26"/>
          <w:szCs w:val="26"/>
          <w:shd w:fill="FFFFFF" w:val="clear"/>
        </w:rPr>
        <w:t>Sala das Comissões, em 08 de dezembro de 2022</w:t>
      </w:r>
    </w:p>
    <w:p>
      <w:pPr>
        <w:pStyle w:val="Corpodotexto"/>
        <w:spacing w:lineRule="auto" w:line="240" w:before="240" w:after="0"/>
        <w:jc w:val="center"/>
        <w:rPr>
          <w:rFonts w:ascii="Calibri" w:hAnsi="Calibri"/>
          <w:b/>
          <w:b/>
          <w:color w:val="000000"/>
          <w:sz w:val="26"/>
          <w:szCs w:val="26"/>
          <w:u w:val="single"/>
        </w:rPr>
      </w:pPr>
      <w:r>
        <w:rPr>
          <w:rFonts w:ascii="Calibri" w:hAnsi="Calibri"/>
          <w:b/>
          <w:color w:val="000000"/>
          <w:sz w:val="26"/>
          <w:szCs w:val="26"/>
          <w:u w:val="single"/>
        </w:rPr>
        <w:t>COMISSÃO DE JUSTIÇA E REDAÇÃO</w:t>
      </w:r>
    </w:p>
    <w:p>
      <w:pPr>
        <w:pStyle w:val="Corpodotexto"/>
        <w:spacing w:lineRule="auto" w:line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Corpodotexto"/>
        <w:spacing w:lineRule="auto" w:line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Corpodotexto"/>
        <w:spacing w:lineRule="auto" w:line="240" w:before="240" w:after="0"/>
        <w:jc w:val="center"/>
        <w:rPr>
          <w:rFonts w:ascii="Calibri" w:hAnsi="Calibri"/>
          <w:b/>
          <w:b/>
          <w:color w:val="000000"/>
          <w:sz w:val="26"/>
          <w:szCs w:val="26"/>
        </w:rPr>
      </w:pPr>
      <w:r>
        <w:rPr>
          <w:rFonts w:ascii="Calibri" w:hAnsi="Calibri"/>
          <w:b/>
          <w:color w:val="000000"/>
          <w:sz w:val="26"/>
          <w:szCs w:val="26"/>
        </w:rPr>
        <w:t>Vereadora Mara Cristina Choquetta</w:t>
      </w:r>
    </w:p>
    <w:p>
      <w:pPr>
        <w:pStyle w:val="Corpodotexto"/>
        <w:spacing w:lineRule="auto" w:line="240" w:before="240" w:after="0"/>
        <w:jc w:val="center"/>
        <w:rPr>
          <w:rFonts w:ascii="Calibri" w:hAnsi="Calibri"/>
          <w:b/>
          <w:b/>
          <w:color w:val="000000"/>
          <w:sz w:val="26"/>
          <w:szCs w:val="26"/>
        </w:rPr>
      </w:pPr>
      <w:r>
        <w:rPr/>
      </w:r>
    </w:p>
    <w:p>
      <w:pPr>
        <w:pStyle w:val="Corpodotexto"/>
        <w:spacing w:lineRule="auto" w:line="240" w:before="240" w:after="0"/>
        <w:jc w:val="center"/>
        <w:rPr>
          <w:rFonts w:ascii="Calibri" w:hAnsi="Calibri"/>
          <w:b/>
          <w:b/>
          <w:color w:val="000000"/>
          <w:sz w:val="26"/>
          <w:szCs w:val="26"/>
        </w:rPr>
      </w:pPr>
      <w:r>
        <w:rPr/>
      </w:r>
    </w:p>
    <w:p>
      <w:pPr>
        <w:pStyle w:val="Corpodotexto"/>
        <w:spacing w:lineRule="auto" w:line="240" w:before="240" w:after="0"/>
        <w:jc w:val="center"/>
        <w:rPr>
          <w:rFonts w:ascii="Calibri" w:hAnsi="Calibri"/>
          <w:b/>
          <w:b/>
          <w:color w:val="000000"/>
          <w:sz w:val="26"/>
          <w:szCs w:val="26"/>
        </w:rPr>
      </w:pPr>
      <w:r>
        <w:rPr/>
      </w:r>
    </w:p>
    <w:p>
      <w:pPr>
        <w:pStyle w:val="Corpodotexto"/>
        <w:spacing w:lineRule="auto" w:line="240"/>
        <w:jc w:val="center"/>
        <w:rPr>
          <w:rFonts w:ascii="Calibri" w:hAnsi="Calibri"/>
          <w:sz w:val="26"/>
          <w:szCs w:val="26"/>
        </w:rPr>
      </w:pPr>
      <w:bookmarkStart w:id="1" w:name="docs-internal-guid-4f89cce7-7fff-8e94-16"/>
      <w:bookmarkEnd w:id="1"/>
      <w:r>
        <w:rPr>
          <w:rFonts w:ascii="Calibri" w:hAnsi="Calibri"/>
          <w:b/>
          <w:color w:val="000000"/>
          <w:sz w:val="26"/>
          <w:szCs w:val="26"/>
        </w:rPr>
        <w:t xml:space="preserve">PARECER  </w:t>
      </w:r>
      <w:r>
        <w:rPr>
          <w:rFonts w:ascii="Calibri" w:hAnsi="Calibri"/>
          <w:b/>
          <w:color w:val="000000"/>
          <w:sz w:val="26"/>
          <w:szCs w:val="26"/>
        </w:rPr>
        <w:t>FAVORÁVEL</w:t>
      </w:r>
      <w:r>
        <w:rPr>
          <w:rFonts w:ascii="Calibri" w:hAnsi="Calibri"/>
          <w:b/>
          <w:color w:val="000000"/>
          <w:sz w:val="26"/>
          <w:szCs w:val="26"/>
        </w:rPr>
        <w:t xml:space="preserve"> N.º       /2022 DA COMISSÃO DE JUSTIÇA E REDAÇÃO  </w:t>
      </w:r>
    </w:p>
    <w:p>
      <w:pPr>
        <w:pStyle w:val="Corpodotexto"/>
        <w:spacing w:lineRule="auto" w:line="240"/>
        <w:jc w:val="both"/>
        <w:rPr>
          <w:rFonts w:ascii="Calibri" w:hAnsi="Calibri"/>
          <w:sz w:val="26"/>
          <w:szCs w:val="26"/>
        </w:rPr>
      </w:pPr>
      <w:r>
        <w:rPr/>
      </w:r>
    </w:p>
    <w:p>
      <w:pPr>
        <w:pStyle w:val="Corpodotexto"/>
        <w:spacing w:lineRule="auto" w:line="24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000000"/>
          <w:sz w:val="26"/>
        </w:rPr>
        <w:t xml:space="preserve">Seguindo o Voto exarado pela Relatora e conforme determina o artigos 35 da Resolução n.º 276 de 09 de novembro de 2010, a Comissão de Justiça e Redação, formaliza o presente </w:t>
      </w:r>
      <w:r>
        <w:rPr>
          <w:rFonts w:ascii="Calibri" w:hAnsi="Calibri"/>
          <w:b/>
          <w:color w:val="000000"/>
          <w:sz w:val="26"/>
        </w:rPr>
        <w:t>PARECER FAVORÁVEL</w:t>
      </w:r>
      <w:r>
        <w:rPr>
          <w:rFonts w:ascii="Calibri" w:hAnsi="Calibri"/>
          <w:color w:val="000000"/>
          <w:sz w:val="26"/>
        </w:rPr>
        <w:t>.</w:t>
      </w:r>
    </w:p>
    <w:p>
      <w:pPr>
        <w:pStyle w:val="Corpodotexto"/>
        <w:spacing w:lineRule="auto" w:line="240" w:before="240" w:after="0"/>
        <w:jc w:val="center"/>
        <w:rPr>
          <w:rFonts w:ascii="Calibri" w:hAnsi="Calibri"/>
          <w:color w:val="000000"/>
          <w:sz w:val="26"/>
          <w:shd w:fill="FFFFFF" w:val="clear"/>
        </w:rPr>
      </w:pPr>
      <w:r>
        <w:rPr>
          <w:rFonts w:ascii="Calibri" w:hAnsi="Calibri"/>
          <w:color w:val="000000"/>
          <w:sz w:val="26"/>
          <w:shd w:fill="FFFFFF" w:val="clear"/>
        </w:rPr>
        <w:t>Sala das Comissões, em 08 de dezembro de 2022.</w:t>
      </w:r>
    </w:p>
    <w:p>
      <w:pPr>
        <w:pStyle w:val="Corpodotexto"/>
        <w:spacing w:lineRule="auto" w:line="240"/>
        <w:rPr/>
      </w:pPr>
      <w:r>
        <w:rPr/>
        <w:br/>
      </w:r>
    </w:p>
    <w:p>
      <w:pPr>
        <w:pStyle w:val="Normal"/>
        <w:jc w:val="center"/>
        <w:rPr>
          <w:rFonts w:cs="Arial"/>
          <w:b/>
          <w:b/>
          <w:bCs/>
          <w:color w:val="000000"/>
          <w:u w:val="single"/>
          <w:shd w:fill="FFFFFF" w:val="clear"/>
        </w:rPr>
      </w:pPr>
      <w:r>
        <w:rPr>
          <w:rFonts w:cs="Arial"/>
          <w:b/>
          <w:bCs/>
          <w:color w:val="000000"/>
          <w:u w:val="single"/>
          <w:shd w:fill="FFFFFF" w:val="clear"/>
        </w:rPr>
      </w:r>
    </w:p>
    <w:p>
      <w:pPr>
        <w:pStyle w:val="Normal"/>
        <w:jc w:val="center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b/>
          <w:bCs/>
          <w:color w:val="000000"/>
          <w:sz w:val="26"/>
          <w:szCs w:val="26"/>
          <w:u w:val="single"/>
          <w:shd w:fill="FFFFFF" w:val="clear"/>
        </w:rPr>
        <w:t>COMISSÃO DE JUSTIÇA E REDAÇÃO</w:t>
      </w:r>
    </w:p>
    <w:p>
      <w:pPr>
        <w:pStyle w:val="Normal"/>
        <w:spacing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br/>
      </w:r>
    </w:p>
    <w:p>
      <w:pPr>
        <w:pStyle w:val="Normal"/>
        <w:jc w:val="center"/>
        <w:rPr>
          <w:rFonts w:cs="Arial"/>
          <w:b/>
          <w:b/>
          <w:bCs/>
          <w:color w:val="000000"/>
          <w:shd w:fill="FFFFFF" w:val="clear"/>
        </w:rPr>
      </w:pPr>
      <w:r>
        <w:rPr>
          <w:rFonts w:cs="Arial"/>
          <w:b/>
          <w:bCs/>
          <w:color w:val="000000"/>
          <w:shd w:fill="FFFFFF" w:val="clear"/>
        </w:rPr>
      </w:r>
    </w:p>
    <w:p>
      <w:pPr>
        <w:pStyle w:val="Normal"/>
        <w:jc w:val="center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b/>
          <w:bCs/>
          <w:color w:val="000000"/>
          <w:sz w:val="26"/>
          <w:szCs w:val="26"/>
          <w:shd w:fill="FFFFFF" w:val="clear"/>
        </w:rPr>
        <w:t>VEREADOR JOÃO VICTOR GASPARINI</w:t>
      </w:r>
    </w:p>
    <w:p>
      <w:pPr>
        <w:pStyle w:val="Normal"/>
        <w:jc w:val="center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color w:val="000000"/>
          <w:sz w:val="26"/>
          <w:szCs w:val="26"/>
          <w:shd w:fill="FFFFFF" w:val="clear"/>
        </w:rPr>
        <w:t xml:space="preserve">Presidente </w:t>
      </w:r>
    </w:p>
    <w:p>
      <w:pPr>
        <w:pStyle w:val="Normal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  <w:bookmarkStart w:id="2" w:name="_GoBack"/>
      <w:bookmarkStart w:id="3" w:name="_GoBack"/>
      <w:bookmarkEnd w:id="3"/>
    </w:p>
    <w:p>
      <w:pPr>
        <w:pStyle w:val="Normal"/>
        <w:jc w:val="center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b/>
          <w:bCs/>
          <w:color w:val="000000"/>
          <w:sz w:val="26"/>
          <w:szCs w:val="26"/>
          <w:shd w:fill="FFFFFF" w:val="clear"/>
        </w:rPr>
        <w:t>VEREADORA MARA CRISTINA CHOQUETTA</w:t>
      </w:r>
    </w:p>
    <w:p>
      <w:pPr>
        <w:pStyle w:val="Normal"/>
        <w:jc w:val="center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color w:val="000000"/>
          <w:sz w:val="26"/>
          <w:szCs w:val="26"/>
          <w:shd w:fill="FFFFFF" w:val="clear"/>
        </w:rPr>
        <w:t>Vice – presidente/relatora</w:t>
      </w:r>
    </w:p>
    <w:p>
      <w:pPr>
        <w:pStyle w:val="Normal"/>
        <w:spacing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jc w:val="center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b/>
          <w:bCs/>
          <w:color w:val="000000"/>
          <w:sz w:val="26"/>
          <w:szCs w:val="26"/>
          <w:shd w:fill="FFFFFF" w:val="clear"/>
        </w:rPr>
        <w:t>VEREADORA  DRA. LÚCIA MARIA FERREIRA TENÓRIO</w:t>
      </w:r>
    </w:p>
    <w:p>
      <w:pPr>
        <w:pStyle w:val="Normal"/>
        <w:jc w:val="center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color w:val="000000"/>
          <w:sz w:val="26"/>
          <w:szCs w:val="26"/>
          <w:shd w:fill="FFFFFF" w:val="clear"/>
        </w:rPr>
        <w:t>Membro </w:t>
      </w:r>
    </w:p>
    <w:p>
      <w:pPr>
        <w:pStyle w:val="Normal"/>
        <w:spacing w:before="240" w:after="240"/>
        <w:ind w:firstLine="720"/>
        <w:contextualSpacing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before="240" w:after="240"/>
        <w:ind w:firstLine="720"/>
        <w:contextualSpacing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before="240" w:after="240"/>
        <w:ind w:firstLine="720"/>
        <w:contextualSpacing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418" w:right="1321" w:gutter="0" w:header="720" w:top="2268" w:footer="720" w:bottom="1134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Bookman Old Style" w:hAnsi="Bookman Old Style"/>
        <w:b/>
        <w:b/>
        <w:sz w:val="18"/>
      </w:rPr>
    </w:pPr>
    <w:r>
      <w:rPr>
        <w:rFonts w:ascii="Bookman Old Style" w:hAnsi="Bookman Old Style"/>
        <w:b/>
        <w:sz w:val="18"/>
      </w:rPr>
      <w:fldChar w:fldCharType="begin"/>
    </w:r>
    <w:r>
      <w:rPr>
        <w:sz w:val="18"/>
        <w:b/>
        <w:rFonts w:ascii="Bookman Old Style" w:hAnsi="Bookman Old Style"/>
      </w:rPr>
      <w:instrText xml:space="preserve"> PAGE </w:instrText>
    </w:r>
    <w:r>
      <w:rPr>
        <w:sz w:val="18"/>
        <w:b/>
        <w:rFonts w:ascii="Bookman Old Style" w:hAnsi="Bookman Old Style"/>
      </w:rPr>
      <w:fldChar w:fldCharType="separate"/>
    </w:r>
    <w:r>
      <w:rPr>
        <w:sz w:val="18"/>
        <w:b/>
        <w:rFonts w:ascii="Bookman Old Style" w:hAnsi="Bookman Old Style"/>
      </w:rPr>
      <w:t>6</w:t>
    </w:r>
    <w:r>
      <w:rPr>
        <w:sz w:val="18"/>
        <w:b/>
        <w:rFonts w:ascii="Bookman Old Style" w:hAnsi="Bookman Old Style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 wp14:anchorId="3A17B76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 wp14:anchorId="3A17B76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34"/>
      </w:rPr>
    </w:pPr>
    <w:r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9" wp14:anchorId="3A17B76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 wp14:anchorId="3A17B76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</w:r>
  </w:p>
  <w:p>
    <w:pPr>
      <w:pStyle w:val="Cabealho"/>
      <w:tabs>
        <w:tab w:val="clear" w:pos="4419"/>
        <w:tab w:val="clear" w:pos="8838"/>
        <w:tab w:val="right" w:pos="7513" w:leader="none"/>
      </w:tabs>
      <w:rPr>
        <w:rFonts w:ascii="Bookman Old Style" w:hAnsi="Bookman Old Style"/>
      </w:rPr>
    </w:pPr>
    <w:r>
      <w:rPr>
        <w:rFonts w:ascii="Bookman Old Style" w:hAnsi="Bookman Old Styl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34"/>
      </w:rPr>
    </w:pPr>
    <w:r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6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9" wp14:anchorId="3A17B76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 wp14:anchorId="3A17B76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</w:r>
  </w:p>
  <w:p>
    <w:pPr>
      <w:pStyle w:val="Cabealho"/>
      <w:tabs>
        <w:tab w:val="clear" w:pos="4419"/>
        <w:tab w:val="clear" w:pos="8838"/>
        <w:tab w:val="right" w:pos="7513" w:leader="none"/>
      </w:tabs>
      <w:rPr>
        <w:rFonts w:ascii="Bookman Old Style" w:hAnsi="Bookman Old Style"/>
      </w:rPr>
    </w:pPr>
    <w:r>
      <w:rPr>
        <w:rFonts w:ascii="Bookman Old Style" w:hAnsi="Bookman Old Style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TextodebaloChar" w:customStyle="1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7b031c"/>
    <w:rPr/>
  </w:style>
  <w:style w:type="character" w:styleId="LinkdaInternet" w:customStyle="1">
    <w:name w:val="Link da Internet"/>
    <w:basedOn w:val="DefaultParagraphFont"/>
    <w:rsid w:val="00223e3b"/>
    <w:rPr>
      <w:color w:val="0563C1" w:themeColor="hyperlink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223e3b"/>
    <w:rPr>
      <w:color w:val="605E5C"/>
      <w:shd w:fill="E1DFDD" w:val="clear"/>
    </w:rPr>
  </w:style>
  <w:style w:type="character" w:styleId="Appletabspan" w:customStyle="1">
    <w:name w:val="apple-tab-span"/>
    <w:basedOn w:val="DefaultParagraphFont"/>
    <w:qFormat/>
    <w:rsid w:val="005101cc"/>
    <w:rPr/>
  </w:style>
  <w:style w:type="character" w:styleId="Smbolosdenumerao" w:customStyle="1">
    <w:name w:val="Símbolos de numeraç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pPr/>
    <w:rPr>
      <w:rFonts w:ascii="Courier New" w:hAnsi="Courier New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qFormat/>
    <w:rsid w:val="00dd6d26"/>
    <w:pPr/>
    <w:rPr>
      <w:rFonts w:ascii="Segoe UI" w:hAnsi="Segoe UI" w:cs="Segoe UI"/>
      <w:sz w:val="18"/>
      <w:szCs w:val="18"/>
    </w:rPr>
  </w:style>
  <w:style w:type="paragraph" w:styleId="Corpodetexto31" w:customStyle="1">
    <w:name w:val="Corpo de texto 31"/>
    <w:basedOn w:val="Normal"/>
    <w:qFormat/>
    <w:rsid w:val="00e821bc"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uiPriority w:val="34"/>
    <w:qFormat/>
    <w:rsid w:val="008c3eba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5101cc"/>
    <w:pPr>
      <w:spacing w:beforeAutospacing="1" w:afterAutospacing="1"/>
    </w:pPr>
    <w:rPr>
      <w:sz w:val="24"/>
      <w:szCs w:val="24"/>
    </w:rPr>
  </w:style>
  <w:style w:type="paragraph" w:styleId="Textoembloco1" w:customStyle="1">
    <w:name w:val="Texto em bloco1"/>
    <w:basedOn w:val="Normal"/>
    <w:qFormat/>
    <w:rsid w:val="00ed0d92"/>
    <w:pPr>
      <w:ind w:left="-709" w:right="-943" w:hanging="0"/>
      <w:jc w:val="both"/>
    </w:pPr>
    <w:rPr>
      <w:sz w:val="22"/>
      <w:lang w:eastAsia="ar-SA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df57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F02E3-2476-43F7-BD3B-1392D228E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LibreOffice/7.3.1.3$Windows_X86_64 LibreOffice_project/a69ca51ded25f3eefd52d7bf9a5fad8c90b87951</Application>
  <AppVersion>15.0000</AppVersion>
  <Pages>6</Pages>
  <Words>1562</Words>
  <Characters>8725</Characters>
  <CharactersWithSpaces>10269</CharactersWithSpaces>
  <Paragraphs>71</Paragraphs>
  <Company>Camara Municipal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2022-11-22T18:10:00Z</dcterms:created>
  <dc:creator>Secretaria</dc:creator>
  <dc:description/>
  <dc:language>pt-BR</dc:language>
  <cp:lastModifiedBy/>
  <cp:lastPrinted>2022-12-08T15:11:06Z</cp:lastPrinted>
  <dcterms:modified xsi:type="dcterms:W3CDTF">2022-12-08T15:11:07Z</dcterms:modified>
  <cp:revision>7</cp:revision>
  <dc:subject/>
  <dc:title>ASSUNTO 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