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493C7C" w:rsidR="00493C7C">
        <w:rPr>
          <w:rFonts w:ascii="Verdana" w:hAnsi="Verdana"/>
          <w:b/>
          <w:sz w:val="22"/>
          <w:szCs w:val="24"/>
        </w:rPr>
        <w:t>para que seja realizada avaliação para contratação de médico vascular, pois no momento o município carece deste profissional especialista.</w:t>
      </w: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129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93C7C" w:rsidR="00493C7C">
        <w:rPr>
          <w:rFonts w:ascii="Verdana" w:hAnsi="Verdana"/>
          <w:sz w:val="22"/>
          <w:szCs w:val="24"/>
        </w:rPr>
        <w:t>para que seja realizada avaliação para contratação de médico vascular, pois no momento o município carece deste profissional especialista.</w:t>
      </w:r>
      <w:bookmarkStart w:id="0" w:name="_GoBack"/>
      <w:bookmarkEnd w:id="0"/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2800977</wp:posOffset>
            </wp:positionH>
            <wp:positionV relativeFrom="margin">
              <wp:posOffset>6915150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CA9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93C7C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D883-C4D9-438D-9A41-1D0D25F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2023-03-03T15:32:00Z</dcterms:created>
  <dcterms:modified xsi:type="dcterms:W3CDTF">2023-03-03T15:32:00Z</dcterms:modified>
</cp:coreProperties>
</file>