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b/>
          <w:sz w:val="26"/>
          <w:szCs w:val="26"/>
          <w:rtl w:val="0"/>
        </w:rPr>
        <w:t>12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b/>
          <w:sz w:val="26"/>
          <w:szCs w:val="26"/>
          <w:rtl w:val="0"/>
        </w:rPr>
        <w:t>3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b/>
          <w:sz w:val="26"/>
          <w:szCs w:val="26"/>
          <w:rtl w:val="0"/>
        </w:rPr>
        <w:t>18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b/>
          <w:sz w:val="26"/>
          <w:szCs w:val="26"/>
          <w:rtl w:val="0"/>
        </w:rPr>
        <w:t>3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spacing w:line="276" w:lineRule="auto"/>
        <w:jc w:val="both"/>
        <w:rPr>
          <w:color w:val="000000"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  <w:tab/>
      </w:r>
      <w:r w:rsidRPr="00000000">
        <w:rPr>
          <w:color w:val="000000"/>
          <w:sz w:val="26"/>
          <w:szCs w:val="26"/>
          <w:rtl w:val="0"/>
        </w:rPr>
        <w:t xml:space="preserve">Conforme determinam os artigos 35, </w:t>
      </w:r>
      <w:r w:rsidRPr="00000000">
        <w:rPr>
          <w:sz w:val="26"/>
          <w:szCs w:val="26"/>
          <w:rtl w:val="0"/>
        </w:rPr>
        <w:t>37 e 39</w:t>
      </w:r>
      <w:r w:rsidRPr="00000000">
        <w:rPr>
          <w:color w:val="000000"/>
          <w:sz w:val="26"/>
          <w:szCs w:val="26"/>
          <w:rtl w:val="0"/>
        </w:rPr>
        <w:t xml:space="preserve"> combinado</w:t>
      </w:r>
      <w:r w:rsidRPr="00000000">
        <w:rPr>
          <w:sz w:val="26"/>
          <w:szCs w:val="26"/>
          <w:rtl w:val="0"/>
        </w:rPr>
        <w:t>s</w:t>
      </w:r>
      <w:r w:rsidRPr="00000000">
        <w:rPr>
          <w:color w:val="000000"/>
          <w:sz w:val="26"/>
          <w:szCs w:val="26"/>
          <w:rtl w:val="0"/>
        </w:rPr>
        <w:t xml:space="preserve"> com artigo 45 da Resolução 276 de 09 de novembro de 2010 – Regimento Interno da Câmara Municipal, a Comissão Permanente de Justiça e Redação, conjuntamente com as Comiss</w:t>
      </w:r>
      <w:r w:rsidRPr="00000000">
        <w:rPr>
          <w:sz w:val="26"/>
          <w:szCs w:val="26"/>
          <w:rtl w:val="0"/>
        </w:rPr>
        <w:t xml:space="preserve">ões </w:t>
      </w:r>
      <w:r w:rsidRPr="00000000">
        <w:rPr>
          <w:color w:val="000000"/>
          <w:sz w:val="26"/>
          <w:szCs w:val="26"/>
          <w:rtl w:val="0"/>
        </w:rPr>
        <w:t>Permanentes</w:t>
      </w:r>
      <w:r w:rsidRPr="00000000">
        <w:rPr>
          <w:sz w:val="26"/>
          <w:szCs w:val="26"/>
          <w:rtl w:val="0"/>
        </w:rPr>
        <w:t xml:space="preserve"> de Educação, Saúde, Cultura, Esporte e Assistência Social; de Obras, Serviços Públicos e Atividades Privadas e de Finanças e Orçamento </w:t>
      </w:r>
      <w:r w:rsidRPr="00000000">
        <w:rPr>
          <w:color w:val="000000"/>
          <w:sz w:val="26"/>
          <w:szCs w:val="26"/>
          <w:rtl w:val="0"/>
        </w:rPr>
        <w:t xml:space="preserve">emitem o presente Relatório acerca do </w:t>
      </w:r>
      <w:r w:rsidRPr="00000000">
        <w:rPr>
          <w:b/>
          <w:color w:val="000000"/>
          <w:sz w:val="26"/>
          <w:szCs w:val="26"/>
          <w:rtl w:val="0"/>
        </w:rPr>
        <w:t xml:space="preserve">Projeto de Lei n.º </w:t>
      </w:r>
      <w:r w:rsidRPr="00000000">
        <w:rPr>
          <w:b/>
          <w:sz w:val="26"/>
          <w:szCs w:val="26"/>
          <w:rtl w:val="0"/>
        </w:rPr>
        <w:t>12</w:t>
      </w:r>
      <w:r w:rsidRPr="00000000">
        <w:rPr>
          <w:b/>
          <w:color w:val="000000"/>
          <w:sz w:val="26"/>
          <w:szCs w:val="26"/>
          <w:rtl w:val="0"/>
        </w:rPr>
        <w:t>/202</w:t>
      </w:r>
      <w:r w:rsidRPr="00000000">
        <w:rPr>
          <w:b/>
          <w:sz w:val="26"/>
          <w:szCs w:val="26"/>
          <w:rtl w:val="0"/>
        </w:rPr>
        <w:t>3</w:t>
      </w:r>
      <w:r w:rsidRPr="00000000">
        <w:rPr>
          <w:color w:val="000000"/>
          <w:sz w:val="26"/>
          <w:szCs w:val="26"/>
          <w:rtl w:val="0"/>
        </w:rPr>
        <w:t>, de autoria do Exmo.</w:t>
      </w:r>
      <w:r w:rsidRPr="00000000">
        <w:rPr>
          <w:sz w:val="26"/>
          <w:szCs w:val="26"/>
          <w:rtl w:val="0"/>
        </w:rPr>
        <w:t xml:space="preserve"> </w:t>
      </w:r>
      <w:r w:rsidRPr="00000000">
        <w:rPr>
          <w:color w:val="000000"/>
          <w:sz w:val="26"/>
          <w:szCs w:val="26"/>
          <w:rtl w:val="0"/>
        </w:rPr>
        <w:t xml:space="preserve">Sr. Prefeito Municipal, sob </w:t>
      </w:r>
      <w:r w:rsidRPr="00000000">
        <w:rPr>
          <w:color w:val="000000"/>
          <w:sz w:val="26"/>
          <w:szCs w:val="26"/>
          <w:rtl w:val="0"/>
        </w:rPr>
        <w:t xml:space="preserve">a relatoria </w:t>
      </w:r>
      <w:r w:rsidRPr="00000000">
        <w:rPr>
          <w:sz w:val="26"/>
          <w:szCs w:val="26"/>
          <w:rtl w:val="0"/>
        </w:rPr>
        <w:t>do Vereador João Victor  Gasparini</w:t>
      </w:r>
      <w:r w:rsidRPr="00000000">
        <w:rPr>
          <w:color w:val="000000"/>
          <w:sz w:val="26"/>
          <w:szCs w:val="26"/>
          <w:rtl w:val="0"/>
        </w:rPr>
        <w:t>.</w:t>
      </w:r>
    </w:p>
    <w:p w:rsidR="00000000" w:rsidRPr="00000000" w:rsidP="00000000" w14:paraId="00000008">
      <w:pPr>
        <w:spacing w:line="276" w:lineRule="auto"/>
        <w:jc w:val="both"/>
        <w:rPr>
          <w:sz w:val="26"/>
          <w:szCs w:val="26"/>
        </w:rPr>
      </w:pP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A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color w:val="000000"/>
          <w:sz w:val="26"/>
          <w:szCs w:val="26"/>
          <w:rtl w:val="0"/>
        </w:rPr>
        <w:t xml:space="preserve">O Excelentíssimo Senhor Prefeito Dr. Paulo de Oliveira e Silva encaminha a esta Casa de Leis o Projeto de Lei n.º </w:t>
      </w:r>
      <w:r w:rsidRPr="00000000">
        <w:rPr>
          <w:sz w:val="26"/>
          <w:szCs w:val="26"/>
          <w:rtl w:val="0"/>
        </w:rPr>
        <w:t>12</w:t>
      </w:r>
      <w:r w:rsidRPr="00000000">
        <w:rPr>
          <w:color w:val="000000"/>
          <w:sz w:val="26"/>
          <w:szCs w:val="26"/>
          <w:rtl w:val="0"/>
        </w:rPr>
        <w:t>/202</w:t>
      </w:r>
      <w:r w:rsidRPr="00000000">
        <w:rPr>
          <w:sz w:val="26"/>
          <w:szCs w:val="26"/>
          <w:rtl w:val="0"/>
        </w:rPr>
        <w:t>3</w:t>
      </w:r>
      <w:r w:rsidRPr="00000000">
        <w:rPr>
          <w:color w:val="000000"/>
          <w:sz w:val="26"/>
          <w:szCs w:val="26"/>
          <w:rtl w:val="0"/>
        </w:rPr>
        <w:t>, que</w:t>
      </w:r>
      <w:r w:rsidRPr="00000000">
        <w:rPr>
          <w:b/>
          <w:color w:val="000000"/>
          <w:sz w:val="26"/>
          <w:szCs w:val="26"/>
          <w:rtl w:val="0"/>
        </w:rPr>
        <w:t xml:space="preserve"> “</w:t>
      </w:r>
      <w:r w:rsidRPr="00000000">
        <w:rPr>
          <w:b/>
          <w:sz w:val="26"/>
          <w:szCs w:val="26"/>
          <w:rtl w:val="0"/>
        </w:rPr>
        <w:t>Dispõe sobre abertura de crédito adicional especial suplementar, por excesso de arrecadação, no valor de R$ 2.139.000,00".</w:t>
      </w:r>
    </w:p>
    <w:p w:rsidR="00000000" w:rsidRPr="00000000" w:rsidP="00000000" w14:paraId="0000000B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valor que trata o Projeto de Lei em epígrafe soma-se no orçamento do Município de Mogi Mirim de forma fracionada, sendo que R$ 150.000,00 (cento e cinquenta mil reais) é oriundo de transferência de recursos do Fundo Estadual de Saúde para o Fundo Municipal de Saúde, em consonância ao programa 0930 da Lei Orçamentária Anual do Estado de São Paulo - Atendimento Integral e Descentralizado do SUS/SP. O recurso foi transferido ao Município por meio da Resolução SS n° 174/22 (anexa a este parecer) e será destinado para a pintura e reforma do telhado com colocação de calhas e rufos na UBS da Santa Clara. </w:t>
      </w:r>
    </w:p>
    <w:p w:rsidR="00000000" w:rsidRPr="00000000" w:rsidP="00000000" w14:paraId="0000000C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valor restante, no montante de R$ 1.969.000,00 (um milhão e novecentos e sessenta e nove mil reais) é oriundo do Programa Desenvolve São Paulo, para aquisição de material permanente para as Unidades Básicas de Saúde. </w:t>
      </w:r>
    </w:p>
    <w:p w:rsidR="00000000" w:rsidRPr="00000000" w:rsidP="00000000" w14:paraId="0000000D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Para melhor instrução processual, a Comissão de Justiça e Redação realizou no dia 08 de março de 2023 uma reunião para discussão do Projeto em análise, onde convidou todos os vereadores desta Casa e representantes do Poder Executivo, com a finalidade de sanar possíveis dúvidas sobre o objeto da propositura. </w:t>
      </w:r>
    </w:p>
    <w:p w:rsidR="00000000" w:rsidRPr="00000000" w:rsidP="00000000" w14:paraId="0000000E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Na ocasião, fomos informados que os recursos já se encontram disponíveis para o Município de Mogi Mirim, restando a indispensável autorização desta Casa de Leis para o empenho dos valores. </w:t>
      </w:r>
    </w:p>
    <w:p w:rsidR="00000000" w:rsidRPr="00000000" w:rsidP="00000000" w14:paraId="0000000F">
      <w:pPr>
        <w:spacing w:line="276" w:lineRule="auto"/>
        <w:ind w:lef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0">
      <w:pPr>
        <w:spacing w:line="276" w:lineRule="auto"/>
        <w:ind w:left="0" w:firstLine="0"/>
        <w:jc w:val="both"/>
        <w:rPr>
          <w:sz w:val="26"/>
          <w:szCs w:val="26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Em análise técnica da matéria, entendemos que se trata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um assunto de competência legislativa do Município, conforme determina o artigo 30, inciso I da Constituição Federal, </w:t>
      </w:r>
      <w:r w:rsidRPr="00000000">
        <w:rPr>
          <w:sz w:val="26"/>
          <w:szCs w:val="26"/>
          <w:rtl w:val="0"/>
        </w:rPr>
        <w:t xml:space="preserve">no que tange 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assuntos de interesse local</w:t>
      </w:r>
      <w:r w:rsidRPr="00000000">
        <w:rPr>
          <w:sz w:val="26"/>
          <w:szCs w:val="26"/>
          <w:rtl w:val="0"/>
        </w:rPr>
        <w:t>:</w:t>
      </w:r>
    </w:p>
    <w:p w:rsidR="00000000" w:rsidRPr="00000000" w:rsidP="00000000" w14:paraId="00000012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3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 - legislar sobre assuntos de interesse local;”</w:t>
      </w:r>
    </w:p>
    <w:p w:rsidR="00000000" w:rsidRPr="00000000" w:rsidP="00000000" w14:paraId="00000014">
      <w:pPr>
        <w:shd w:val="clear" w:color="auto" w:fill="FFFFFF"/>
        <w:spacing w:before="200" w:after="200" w:line="276" w:lineRule="auto"/>
        <w:ind w:lef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Com relação à iniciativa do Projeto, verifica-se que está em conformidade com o inciso IV do artigo 51 da Lei Orgânica do Município de Mogi Mirim, que dispõe sobre a iniciativa privativa do Prefeito as matérias orçamentárias e as que autorizam aberturas de créditos. </w:t>
      </w:r>
    </w:p>
    <w:p w:rsidR="00000000" w:rsidRPr="00000000" w:rsidP="00000000" w14:paraId="00000015">
      <w:pPr>
        <w:shd w:val="clear" w:color="auto" w:fill="FFFFFF"/>
        <w:spacing w:before="200" w:after="200" w:line="276" w:lineRule="auto"/>
        <w:ind w:left="3600" w:firstLine="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51. São de iniciativa exclusiva do Prefeito as leis que disponham sobre: (...)</w:t>
      </w:r>
    </w:p>
    <w:p w:rsidR="00000000" w:rsidRPr="00000000" w:rsidP="00000000" w14:paraId="00000016">
      <w:pPr>
        <w:shd w:val="clear" w:color="auto" w:fill="FFFFFF"/>
        <w:spacing w:before="200" w:after="200" w:line="276" w:lineRule="auto"/>
        <w:ind w:left="3600" w:firstLine="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IV – matéria orçamentária e a que se autorize a abertura de créditos ou conceda auxílio, prêmios e subvenções;”</w:t>
      </w:r>
    </w:p>
    <w:p w:rsidR="00000000" w:rsidRPr="00000000" w:rsidP="00000000" w14:paraId="00000017">
      <w:pPr>
        <w:shd w:val="clear" w:color="auto" w:fill="FFFFFF"/>
        <w:spacing w:before="240" w:after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Já no tocante à legalidade do projeto, a Lei Federal n.º 4.320/64 dispõe que os créditos adicionais especiais são aqueles destinados às despesas para as quais não haja dotação orçamentária específica. Dispõe também que a abertura do crédito especial dependerá da existência de recursos disponíveis para ocorrer a despesa, conforme Arts. 41 e 42:</w:t>
      </w:r>
    </w:p>
    <w:p w:rsidR="00000000" w:rsidRPr="00000000" w:rsidP="00000000" w14:paraId="00000018">
      <w:pPr>
        <w:shd w:val="clear" w:color="auto" w:fill="FFFFFF"/>
        <w:spacing w:before="240" w:after="240" w:line="276" w:lineRule="auto"/>
        <w:ind w:left="3600" w:firstLine="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“Art. 41. Os créditos adicionais classificam-se em:</w:t>
      </w:r>
    </w:p>
    <w:p w:rsidR="00000000" w:rsidRPr="00000000" w:rsidP="00000000" w14:paraId="00000019">
      <w:pPr>
        <w:shd w:val="clear" w:color="auto" w:fill="FFFFFF"/>
        <w:spacing w:before="240" w:after="240" w:line="276" w:lineRule="auto"/>
        <w:ind w:left="3600" w:firstLine="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 xml:space="preserve"> I - suplementares, os destinados a refôrço de dotação orçamentária;</w:t>
      </w:r>
    </w:p>
    <w:p w:rsidR="00000000" w:rsidRPr="00000000" w:rsidP="00000000" w14:paraId="0000001A">
      <w:pPr>
        <w:shd w:val="clear" w:color="auto" w:fill="FFFFFF"/>
        <w:spacing w:before="240" w:after="240" w:line="276" w:lineRule="auto"/>
        <w:ind w:left="3600" w:firstLine="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II - especiais, os destinados a despesas para as quais não haja dotação orçamentária específica;”</w:t>
      </w:r>
    </w:p>
    <w:p w:rsidR="00000000" w:rsidRPr="00000000" w:rsidP="00000000" w14:paraId="0000001B">
      <w:pPr>
        <w:shd w:val="clear" w:color="auto" w:fill="FFFFFF"/>
        <w:spacing w:before="240" w:after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Em conformidade à</w:t>
      </w:r>
      <w:r w:rsidRPr="00000000">
        <w:rPr>
          <w:sz w:val="26"/>
          <w:szCs w:val="26"/>
          <w:highlight w:val="white"/>
          <w:rtl w:val="0"/>
        </w:rPr>
        <w:t xml:space="preserve"> exigência legal, a Propositura indica a fonte de recursos orçamentários que se trata, conforme quadro indicativo constante no corpo do Projeto de Lei, nos quais já citamos na </w:t>
      </w:r>
      <w:r w:rsidRPr="00000000">
        <w:rPr>
          <w:b/>
          <w:sz w:val="26"/>
          <w:szCs w:val="26"/>
          <w:highlight w:val="white"/>
          <w:rtl w:val="0"/>
        </w:rPr>
        <w:t>Exposição da Matéria</w:t>
      </w:r>
      <w:r w:rsidRPr="00000000">
        <w:rPr>
          <w:sz w:val="26"/>
          <w:szCs w:val="26"/>
          <w:highlight w:val="white"/>
          <w:rtl w:val="0"/>
        </w:rPr>
        <w:t>. Reiteramos que todos os recursos dispostos neste Projeto de Lei serão empenhados em ações da Secretaria de Saúde</w:t>
      </w:r>
      <w:r w:rsidRPr="00000000">
        <w:rPr>
          <w:sz w:val="26"/>
          <w:szCs w:val="26"/>
          <w:highlight w:val="white"/>
          <w:rtl w:val="0"/>
        </w:rPr>
        <w:t xml:space="preserve">. </w:t>
      </w: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1C">
      <w:pPr>
        <w:shd w:val="clear" w:color="auto" w:fill="FFFFFF"/>
        <w:spacing w:before="240" w:after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Cabe ressaltar que o valor de R$ 1.969.000,00 (um milhão e novecentos e sessenta e nove mil reais), oriundo do Programa Desenvolve São Paulo, será somado no Orçamento Municipal para 2023 junto à Ação com final </w:t>
      </w:r>
      <w:r w:rsidRPr="00000000">
        <w:rPr>
          <w:b/>
          <w:sz w:val="26"/>
          <w:szCs w:val="26"/>
          <w:rtl w:val="0"/>
        </w:rPr>
        <w:t xml:space="preserve">2101, </w:t>
      </w:r>
      <w:r w:rsidRPr="00000000">
        <w:rPr>
          <w:sz w:val="26"/>
          <w:szCs w:val="26"/>
          <w:rtl w:val="0"/>
        </w:rPr>
        <w:t xml:space="preserve">que corresponde a Manutenção das Atividades do Centro de Especialidades, para aquisição de equipamentos e material permanente, no qual recebemos por meio da Secretaria de Saúde uma planilha com os equipamentos que se pretende comprar com o recurso (anexa neste parecer). </w:t>
      </w:r>
    </w:p>
    <w:p w:rsidR="00000000" w:rsidRPr="00000000" w:rsidP="00000000" w14:paraId="0000001D">
      <w:pPr>
        <w:shd w:val="clear" w:color="auto" w:fill="FFFFFF"/>
        <w:spacing w:before="240" w:after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Cabe ressaltar que o Programa Desenvolve São Paulo tem como objetivo fomentar projetos de ampliação da competitividade dos agentes econômicos do estado, com atenção às iniciativas de inovação e desenvolvimento tecnológico, em linha com o seu Planejamento Estratégico e as diretrizes e políticas definidas pelo Governo Estadual. Sendo assim, o Programa possui algumas diretrizes, dentre elas a parceria com municípios, das quais busca:</w:t>
      </w:r>
    </w:p>
    <w:p w:rsidR="00000000" w:rsidRPr="00000000" w:rsidP="00000000" w14:paraId="0000001E">
      <w:pPr>
        <w:numPr>
          <w:ilvl w:val="0"/>
          <w:numId w:val="1"/>
        </w:numPr>
        <w:shd w:val="clear" w:color="auto" w:fill="FFFFFF"/>
        <w:spacing w:before="240" w:after="0" w:afterAutospacing="0" w:line="276" w:lineRule="auto"/>
        <w:ind w:left="1440" w:hanging="360"/>
        <w:jc w:val="both"/>
        <w:rPr>
          <w:sz w:val="26"/>
          <w:szCs w:val="26"/>
          <w:u w:val="none"/>
        </w:rPr>
      </w:pPr>
      <w:r w:rsidRPr="00000000">
        <w:rPr>
          <w:sz w:val="26"/>
          <w:szCs w:val="26"/>
          <w:rtl w:val="0"/>
        </w:rPr>
        <w:t xml:space="preserve">Apoiar projetos municipais em infraestrutura, mobilidade urbana, iluminação pública, entre outros, que proporcionem o desenvolvimento regional; </w:t>
      </w:r>
    </w:p>
    <w:p w:rsidR="00000000" w:rsidRPr="00000000" w:rsidP="00000000" w14:paraId="0000001F">
      <w:pPr>
        <w:numPr>
          <w:ilvl w:val="0"/>
          <w:numId w:val="1"/>
        </w:numPr>
        <w:shd w:val="clear" w:color="auto" w:fill="FFFFFF"/>
        <w:spacing w:before="0" w:beforeAutospacing="0" w:after="240" w:line="276" w:lineRule="auto"/>
        <w:ind w:left="1440" w:hanging="360"/>
        <w:jc w:val="both"/>
        <w:rPr>
          <w:sz w:val="26"/>
          <w:szCs w:val="26"/>
          <w:u w:val="none"/>
        </w:rPr>
      </w:pPr>
      <w:r w:rsidRPr="00000000">
        <w:rPr>
          <w:sz w:val="26"/>
          <w:szCs w:val="26"/>
          <w:rtl w:val="0"/>
        </w:rPr>
        <w:t xml:space="preserve"> Apoiar preferencialmente projetos de modernização, inovação e sustentabilidade.</w:t>
      </w:r>
    </w:p>
    <w:p w:rsidR="00000000" w:rsidRPr="00000000" w:rsidP="00000000" w14:paraId="00000020">
      <w:pPr>
        <w:shd w:val="clear" w:color="auto" w:fill="FFFFFF"/>
        <w:spacing w:before="240" w:after="240" w:line="276" w:lineRule="auto"/>
        <w:ind w:lef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Em análise ao anexo encaminhado pela Secretaria de Saúde informando os itens que se pretende comprar, entendemos que os mesmos são compatíveis com as diretrizes do programa, tratando-se de modernização da rede de saúde, que se faz necessária para o aprimoramento do atendimento à população.</w:t>
      </w:r>
    </w:p>
    <w:p w:rsidR="00000000" w:rsidRPr="00000000" w:rsidP="00000000" w14:paraId="00000021">
      <w:pPr>
        <w:shd w:val="clear" w:color="auto" w:fill="FFFFFF"/>
        <w:spacing w:before="240" w:after="240" w:line="276" w:lineRule="auto"/>
        <w:ind w:lef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Cumpre destacar o acréscimo de dotação orçamentária que corresponde ao Programa Desenvolve São Paulo se faz necessário considerando que a dotação para este recurso não está previsto na Lei Orçamentária Anual para o exercício de 2023 (Lei Ordinária n° 6.597/2022), por não ter sido inserido no Projeto de Lei encaminhado pelo Poder Executivo, que justifica o fato de em 2022 não ter havido tempo hábil para o empenho de todos os processos de licitação correspondentes a este recurso. Dessa forma, para o empenho deste recurso, é preciso a autorização legislativa para que o mesmo seja legalmente inserido no Orçamento do Município de Mogi Mirim. </w:t>
      </w:r>
    </w:p>
    <w:p w:rsidR="00000000" w:rsidRPr="00000000" w:rsidP="00000000" w14:paraId="00000022">
      <w:pPr>
        <w:shd w:val="clear" w:color="auto" w:fill="FFFFFF"/>
        <w:spacing w:before="240" w:after="240" w:line="276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Dessa forma, quanto ao aspecto constitucional, legal e regimental, denota-se que o presente projeto não apresenta conflitos junto ao ordenamento jurídico vigente, não havendo vícios de inconstitucionalidade.</w:t>
      </w:r>
    </w:p>
    <w:p w:rsidR="00000000" w:rsidRPr="00000000" w:rsidP="00000000" w14:paraId="00000023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 fim e no tocante ao aspecto gramatical e lógico, verifica-se que houve respeito às regras ortográficas e técnica legislativa, não havendo apontamentos neste sentido. </w:t>
      </w:r>
    </w:p>
    <w:p w:rsidR="00000000" w:rsidRPr="00000000" w:rsidP="00000000" w14:paraId="00000024">
      <w:pPr>
        <w:spacing w:line="276" w:lineRule="auto"/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Portanto, seja no âmbito jurídico e gramatical não identificamos irregularidades na propositura ora analisada, motivo pelo qual não se verifica óbice para continuidade da proposta apresentada pelo Executivo Municipal.</w:t>
      </w:r>
    </w:p>
    <w:p w:rsidR="00000000" w:rsidRPr="00000000" w:rsidP="00000000" w14:paraId="00000025">
      <w:pPr>
        <w:spacing w:line="276" w:lineRule="auto"/>
        <w:jc w:val="both"/>
        <w:rPr>
          <w:b/>
          <w:sz w:val="26"/>
          <w:szCs w:val="26"/>
        </w:rPr>
      </w:pPr>
    </w:p>
    <w:p w:rsidR="00000000" w:rsidRPr="00000000" w:rsidP="00000000" w14:paraId="00000026">
      <w:pPr>
        <w:spacing w:line="276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7">
      <w:pPr>
        <w:spacing w:line="276" w:lineRule="auto"/>
        <w:jc w:val="both"/>
        <w:rPr>
          <w:sz w:val="26"/>
          <w:szCs w:val="26"/>
        </w:rPr>
      </w:pPr>
    </w:p>
    <w:p w:rsidR="00000000" w:rsidRPr="00000000" w:rsidP="00000000" w14:paraId="00000028">
      <w:pPr>
        <w:spacing w:line="276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  <w:tab/>
        <w:t>O Relator não propõe qualquer alteração ao Projeto de Lei sob análise.</w:t>
      </w:r>
    </w:p>
    <w:p w:rsidR="00000000" w:rsidRPr="00000000" w:rsidP="00000000" w14:paraId="00000029">
      <w:pPr>
        <w:spacing w:line="276" w:lineRule="auto"/>
        <w:jc w:val="both"/>
        <w:rPr>
          <w:b/>
          <w:sz w:val="26"/>
          <w:szCs w:val="26"/>
        </w:rPr>
      </w:pPr>
    </w:p>
    <w:p w:rsidR="00000000" w:rsidRPr="00000000" w:rsidP="00000000" w14:paraId="0000002A">
      <w:pPr>
        <w:spacing w:line="276" w:lineRule="auto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Relator.</w:t>
      </w:r>
    </w:p>
    <w:p w:rsidR="00000000" w:rsidRPr="00000000" w:rsidP="00000000" w14:paraId="0000002B">
      <w:pPr>
        <w:spacing w:line="276" w:lineRule="auto"/>
        <w:jc w:val="both"/>
        <w:rPr>
          <w:b/>
          <w:sz w:val="26"/>
          <w:szCs w:val="26"/>
        </w:rPr>
      </w:pPr>
    </w:p>
    <w:p w:rsidR="00000000" w:rsidRPr="00000000" w:rsidP="00000000" w14:paraId="0000002C">
      <w:pPr>
        <w:spacing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2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F">
      <w:pPr>
        <w:spacing w:line="276" w:lineRule="auto"/>
        <w:jc w:val="left"/>
        <w:rPr>
          <w:b/>
          <w:sz w:val="26"/>
          <w:szCs w:val="26"/>
        </w:rPr>
      </w:pPr>
    </w:p>
    <w:p w:rsidR="00000000" w:rsidRPr="00000000" w:rsidP="00000000" w14:paraId="00000030">
      <w:pPr>
        <w:spacing w:line="276" w:lineRule="auto"/>
        <w:jc w:val="center"/>
        <w:rPr>
          <w:b/>
          <w:sz w:val="26"/>
          <w:szCs w:val="26"/>
        </w:rPr>
      </w:pPr>
    </w:p>
    <w:p w:rsidR="00000000" w:rsidRPr="00000000" w:rsidP="00000000" w14:paraId="0000003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3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sz w:val="26"/>
          <w:szCs w:val="26"/>
          <w:rtl w:val="0"/>
        </w:rPr>
        <w:t>Vice-p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residente /relator</w:t>
      </w:r>
    </w:p>
    <w:p w:rsidR="00000000" w:rsidRPr="00000000" w:rsidP="00000000" w14:paraId="0000003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D">
      <w:pPr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PARECER CONJUNTO DAs COMISSÃO DE JUSTIÇA E REDAÇÃO, COMISSÃO EDUCAÇÃO, SAÚDE, </w:t>
      </w:r>
      <w:r w:rsidRPr="00000000">
        <w:rPr>
          <w:b/>
          <w:sz w:val="26"/>
          <w:szCs w:val="26"/>
          <w:highlight w:val="white"/>
          <w:rtl w:val="0"/>
        </w:rPr>
        <w:t>CULTURA, ESPORTE E ASSISTÊNCIA SOCIAL; COMISSÃO</w:t>
      </w:r>
      <w:r w:rsidRPr="00000000">
        <w:rPr>
          <w:rFonts w:ascii="Arial" w:eastAsia="Arial" w:hAnsi="Arial" w:cs="Arial"/>
          <w:b/>
          <w:sz w:val="21"/>
          <w:szCs w:val="21"/>
          <w:highlight w:val="white"/>
          <w:rtl w:val="0"/>
        </w:rPr>
        <w:t xml:space="preserve"> </w:t>
      </w:r>
      <w:r w:rsidRPr="00000000">
        <w:rPr>
          <w:b/>
          <w:sz w:val="26"/>
          <w:szCs w:val="26"/>
          <w:rtl w:val="0"/>
        </w:rPr>
        <w:t>DE OBRAS, SERVIÇOS PÚBLICOS E ATIVIDADES PRIVADAS  E COMISSÃO DE FINANÇAS E ORÇAMENTO.</w:t>
      </w:r>
    </w:p>
    <w:p w:rsidR="00000000" w:rsidRPr="00000000" w:rsidP="00000000" w14:paraId="0000003E">
      <w:pPr>
        <w:spacing w:before="24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Seguindo o Voto exarado pelo Relator e conforme determinam os artigos 35, 37, 38 e 39,  combinados com o artigo 45 da Resolução n.º 276 de 09 de novembro de 2010, as Comissões de Justiça e Redação; de Obras, Serviços Públicos e Atividades Privadas; de Educação, Saúde, Cultura, Esporte e Assistência Social  e de  Finanças e Orçamento, formalizam o presente </w:t>
      </w:r>
      <w:r w:rsidRPr="00000000">
        <w:rPr>
          <w:b/>
          <w:sz w:val="26"/>
          <w:szCs w:val="26"/>
          <w:rtl w:val="0"/>
        </w:rPr>
        <w:t>PARECER FAVORÁVEL ao Projeto de Lei n° 12 de 2023</w:t>
      </w:r>
      <w:r w:rsidRPr="00000000">
        <w:rPr>
          <w:sz w:val="26"/>
          <w:szCs w:val="26"/>
          <w:rtl w:val="0"/>
        </w:rPr>
        <w:t>.</w:t>
      </w:r>
    </w:p>
    <w:p w:rsidR="00000000" w:rsidRPr="00000000" w:rsidP="00000000" w14:paraId="0000003F">
      <w:pPr>
        <w:spacing w:before="240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Sala das Comissões, em 09 de março de 2023.</w:t>
      </w:r>
    </w:p>
    <w:p w:rsidR="00000000" w:rsidRPr="00000000" w:rsidP="00000000" w14:paraId="00000040">
      <w:pPr>
        <w:spacing w:before="240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41">
      <w:pPr>
        <w:jc w:val="center"/>
        <w:rPr>
          <w:b/>
          <w:sz w:val="26"/>
          <w:szCs w:val="26"/>
        </w:rPr>
      </w:pPr>
    </w:p>
    <w:p w:rsidR="00000000" w:rsidRPr="00000000" w:rsidP="00000000" w14:paraId="00000042">
      <w:pPr>
        <w:rPr>
          <w:b/>
          <w:sz w:val="26"/>
          <w:szCs w:val="26"/>
        </w:rPr>
      </w:pPr>
    </w:p>
    <w:p w:rsidR="00000000" w:rsidRPr="00000000" w:rsidP="00000000" w14:paraId="00000043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44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Presidente</w:t>
      </w:r>
    </w:p>
    <w:p w:rsidR="00000000" w:rsidRPr="00000000" w:rsidP="00000000" w14:paraId="00000045">
      <w:pPr>
        <w:spacing w:after="240"/>
        <w:rPr>
          <w:sz w:val="26"/>
          <w:szCs w:val="26"/>
        </w:rPr>
      </w:pPr>
    </w:p>
    <w:p w:rsidR="00000000" w:rsidRPr="00000000" w:rsidP="00000000" w14:paraId="00000046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47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Vice-presidente/relator</w:t>
      </w:r>
    </w:p>
    <w:p w:rsidR="00000000" w:rsidRPr="00000000" w:rsidP="00000000" w14:paraId="00000048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49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4A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Membro</w:t>
      </w:r>
      <w:r w:rsidRPr="00000000">
        <w:rPr>
          <w:rtl w:val="0"/>
        </w:rPr>
        <w:t> </w:t>
      </w:r>
    </w:p>
    <w:p w:rsidR="00000000" w:rsidRPr="00000000" w:rsidP="00000000" w14:paraId="0000004B">
      <w:pPr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OBRAS, SERVIÇOS PÚBLICOS E ATIVIDADES PRIVADAS</w:t>
      </w:r>
    </w:p>
    <w:p w:rsidR="00000000" w:rsidRPr="00000000" w:rsidP="00000000" w14:paraId="0000004C">
      <w:pPr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D">
      <w:pPr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E">
      <w:pPr>
        <w:rPr>
          <w:sz w:val="26"/>
          <w:szCs w:val="26"/>
        </w:rPr>
      </w:pPr>
    </w:p>
    <w:p w:rsidR="00000000" w:rsidRPr="00000000" w:rsidP="00000000" w14:paraId="0000004F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ORIVALDO APARECIDO MAGALHÃES</w:t>
      </w:r>
    </w:p>
    <w:p w:rsidR="00000000" w:rsidRPr="00000000" w:rsidP="00000000" w14:paraId="00000050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 Presidente</w:t>
      </w:r>
    </w:p>
    <w:p w:rsidR="00000000" w:rsidRPr="00000000" w:rsidP="00000000" w14:paraId="00000051">
      <w:pPr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52">
      <w:pPr>
        <w:jc w:val="center"/>
        <w:rPr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53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54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55">
      <w:pPr>
        <w:rPr>
          <w:sz w:val="26"/>
          <w:szCs w:val="26"/>
        </w:rPr>
      </w:pPr>
    </w:p>
    <w:p w:rsidR="00000000" w:rsidRPr="00000000" w:rsidP="00000000" w14:paraId="00000056">
      <w:pPr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VEREADORA ADEMIR SOUZA FLORETTI JUNIOR</w:t>
      </w:r>
    </w:p>
    <w:p w:rsidR="00000000" w:rsidRPr="00000000" w:rsidP="00000000" w14:paraId="00000057">
      <w:pPr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sz w:val="26"/>
          <w:szCs w:val="26"/>
          <w:highlight w:val="white"/>
          <w:rtl w:val="0"/>
        </w:rPr>
        <w:t>Membro</w:t>
      </w:r>
    </w:p>
    <w:p w:rsidR="00000000" w:rsidRPr="00000000" w:rsidP="00000000" w14:paraId="00000058">
      <w:pPr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9">
      <w:pPr>
        <w:jc w:val="left"/>
        <w:rPr>
          <w:sz w:val="26"/>
          <w:szCs w:val="26"/>
          <w:highlight w:val="white"/>
        </w:rPr>
      </w:pPr>
    </w:p>
    <w:p w:rsidR="00000000" w:rsidRPr="00000000" w:rsidP="00000000" w14:paraId="0000005A">
      <w:pPr>
        <w:spacing w:after="240"/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 xml:space="preserve">COMISSÃO </w:t>
      </w:r>
      <w:r w:rsidRPr="00000000">
        <w:rPr>
          <w:b/>
          <w:sz w:val="26"/>
          <w:szCs w:val="26"/>
          <w:u w:val="single"/>
          <w:rtl w:val="0"/>
        </w:rPr>
        <w:t>DE EDUCAÇÃO, SAÚDE, CULTURA, ESPORTES E ASSISTÊNCIA SOCIAL</w:t>
      </w:r>
    </w:p>
    <w:p w:rsidR="00000000" w:rsidRPr="00000000" w:rsidP="00000000" w14:paraId="0000005B">
      <w:pPr>
        <w:spacing w:after="240"/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5C">
      <w:pPr>
        <w:spacing w:after="240"/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5D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LUZIA CRISTINA CORTES NOGUEIRA</w:t>
      </w:r>
    </w:p>
    <w:p w:rsidR="00000000" w:rsidRPr="00000000" w:rsidP="00000000" w14:paraId="0000005E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Presidente</w:t>
      </w:r>
    </w:p>
    <w:p w:rsidR="00000000" w:rsidRPr="00000000" w:rsidP="00000000" w14:paraId="0000005F">
      <w:pPr>
        <w:spacing w:after="240"/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60">
      <w:pPr>
        <w:spacing w:after="240"/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61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62">
      <w:pPr>
        <w:spacing w:after="240"/>
        <w:jc w:val="center"/>
        <w:rPr>
          <w:b/>
          <w:sz w:val="26"/>
          <w:szCs w:val="26"/>
          <w:u w:val="single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63">
      <w:pPr>
        <w:spacing w:after="240"/>
        <w:rPr>
          <w:b/>
          <w:sz w:val="26"/>
          <w:szCs w:val="26"/>
          <w:u w:val="single"/>
        </w:rPr>
      </w:pPr>
    </w:p>
    <w:p w:rsidR="00000000" w:rsidRPr="00000000" w:rsidP="00000000" w14:paraId="00000064">
      <w:pPr>
        <w:spacing w:after="240"/>
        <w:rPr>
          <w:b/>
          <w:sz w:val="26"/>
          <w:szCs w:val="26"/>
          <w:u w:val="single"/>
        </w:rPr>
      </w:pPr>
    </w:p>
    <w:p w:rsidR="00000000" w:rsidRPr="00000000" w:rsidP="00000000" w14:paraId="00000065">
      <w:pPr>
        <w:spacing w:after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66">
      <w:pPr>
        <w:spacing w:after="240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sz w:val="26"/>
          <w:szCs w:val="26"/>
          <w:rtl w:val="0"/>
        </w:rPr>
        <w:t>Membro</w:t>
      </w:r>
    </w:p>
    <w:p w:rsidR="00000000" w:rsidRPr="00000000" w:rsidP="00000000" w14:paraId="00000067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FINANÇAS E ORÇAMENTO</w:t>
      </w:r>
    </w:p>
    <w:p w:rsidR="00000000" w:rsidRPr="00000000" w:rsidP="00000000" w14:paraId="00000068">
      <w:pPr>
        <w:rPr>
          <w:sz w:val="26"/>
          <w:szCs w:val="26"/>
        </w:rPr>
      </w:pPr>
    </w:p>
    <w:p w:rsidR="00000000" w:rsidRPr="00000000" w:rsidP="00000000" w14:paraId="00000069">
      <w:pPr>
        <w:jc w:val="center"/>
        <w:rPr>
          <w:sz w:val="26"/>
          <w:szCs w:val="26"/>
        </w:rPr>
      </w:pPr>
    </w:p>
    <w:p w:rsidR="00000000" w:rsidRPr="00000000" w:rsidP="00000000" w14:paraId="0000006A">
      <w:pPr>
        <w:jc w:val="center"/>
        <w:rPr>
          <w:sz w:val="26"/>
          <w:szCs w:val="26"/>
        </w:rPr>
      </w:pPr>
    </w:p>
    <w:p w:rsidR="00000000" w:rsidRPr="00000000" w:rsidP="00000000" w14:paraId="0000006B">
      <w:pPr>
        <w:jc w:val="center"/>
        <w:rPr>
          <w:sz w:val="26"/>
          <w:szCs w:val="26"/>
        </w:rPr>
      </w:pPr>
    </w:p>
    <w:p w:rsidR="00000000" w:rsidRPr="00000000" w:rsidP="00000000" w14:paraId="0000006C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6D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 Presidente </w:t>
      </w:r>
    </w:p>
    <w:p w:rsidR="00000000" w:rsidRPr="00000000" w:rsidP="00000000" w14:paraId="0000006E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6F">
      <w:pPr>
        <w:rPr>
          <w:sz w:val="26"/>
          <w:szCs w:val="26"/>
          <w:highlight w:val="white"/>
        </w:rPr>
      </w:pPr>
    </w:p>
    <w:p w:rsidR="00000000" w:rsidRPr="00000000" w:rsidP="00000000" w14:paraId="00000070">
      <w:pPr>
        <w:jc w:val="center"/>
        <w:rPr>
          <w:sz w:val="26"/>
          <w:szCs w:val="26"/>
        </w:rPr>
      </w:pPr>
    </w:p>
    <w:p w:rsidR="00000000" w:rsidRPr="00000000" w:rsidP="00000000" w14:paraId="00000071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72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73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74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75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76">
      <w:pPr>
        <w:spacing w:before="240"/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LUZIA CRISTINA CORTES NOGUEIRA</w:t>
      </w:r>
    </w:p>
    <w:p w:rsidR="00000000" w:rsidRPr="00000000" w:rsidP="00000000" w14:paraId="00000077">
      <w:pPr>
        <w:jc w:val="center"/>
        <w:rPr>
          <w:b/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Membro</w:t>
      </w:r>
    </w:p>
    <w:sectPr>
      <w:headerReference w:type="even" r:id="rId4"/>
      <w:headerReference w:type="default" r:id="rId5"/>
      <w:footerReference w:type="default" r:id="rId6"/>
      <w:pgSz w:w="11907" w:h="16840" w:orient="portrait"/>
      <w:pgMar w:top="1275" w:right="1321" w:bottom="1115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7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37621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7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Estado de São Paulo           </w:t>
    </w:r>
  </w:p>
  <w:p w:rsidR="00000000" w:rsidRPr="00000000" w:rsidP="00000000" w14:paraId="0000007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right"/>
      <w:rPr>
        <w:i/>
        <w:sz w:val="22"/>
        <w:szCs w:val="22"/>
      </w:rPr>
    </w:pPr>
    <w:r w:rsidRPr="00000000">
      <w:rPr>
        <w:i/>
        <w:sz w:val="22"/>
        <w:szCs w:val="22"/>
        <w:rtl w:val="0"/>
      </w:rPr>
      <w:t>Parecer do Projeto de Lei n° 12/2023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A22199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