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92" w:rsidRPr="008319DC" w:rsidRDefault="008319DC" w:rsidP="008319DC">
      <w:pPr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9D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N°</w:t>
      </w:r>
      <w:r w:rsidR="005C5D13" w:rsidRPr="008319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09 DE 2023</w:t>
      </w:r>
    </w:p>
    <w:p w:rsidR="008319DC" w:rsidRPr="008319DC" w:rsidRDefault="008319DC" w:rsidP="008319DC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9DC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N° 16 DE 2023</w:t>
      </w:r>
    </w:p>
    <w:p w:rsidR="00AD7192" w:rsidRPr="008319DC" w:rsidRDefault="00AD7192" w:rsidP="00AD7192">
      <w:pPr>
        <w:spacing w:line="200" w:lineRule="atLeast"/>
        <w:ind w:left="2680" w:hanging="500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spacing w:line="200" w:lineRule="atLeast"/>
        <w:ind w:left="340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span_text"/>
      <w:bookmarkEnd w:id="0"/>
      <w:r w:rsidRPr="008319DC">
        <w:rPr>
          <w:rFonts w:ascii="Times New Roman" w:hAnsi="Times New Roman" w:cs="Times New Roman"/>
          <w:b/>
          <w:bCs/>
          <w:caps/>
          <w:sz w:val="24"/>
          <w:szCs w:val="24"/>
        </w:rPr>
        <w:t>Autoriza o Poder Executivo Municipal a contratar operação de crédito junto à Caixa Econômica Federal, no âmbito do Programa FINISA</w:t>
      </w:r>
      <w:r w:rsidRPr="008319DC">
        <w:rPr>
          <w:rFonts w:ascii="Times New Roman" w:hAnsi="Times New Roman" w:cs="Times New Roman"/>
          <w:b/>
          <w:caps/>
          <w:sz w:val="24"/>
          <w:szCs w:val="24"/>
        </w:rPr>
        <w:t xml:space="preserve"> – Financiamento à Infraestrutura e ao Saneamento na Modalidade Apoio Financeiro, destinado a aplicação em Despesa de Capital e</w:t>
      </w:r>
      <w:r w:rsidRPr="008319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a oferecer garantias, e dá outras providências.</w:t>
      </w:r>
    </w:p>
    <w:p w:rsidR="00AD7192" w:rsidRPr="008319DC" w:rsidRDefault="00AD7192" w:rsidP="00AD7192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Default="005C5D13" w:rsidP="008319DC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color w:val="auto"/>
        </w:rPr>
      </w:pPr>
      <w:r w:rsidRPr="008319DC">
        <w:rPr>
          <w:rFonts w:ascii="Times New Roman" w:hAnsi="Times New Roman" w:cs="Times New Roman"/>
          <w:color w:val="auto"/>
        </w:rPr>
        <w:t>A</w:t>
      </w:r>
      <w:r w:rsidRPr="008319D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319DC">
        <w:rPr>
          <w:rFonts w:ascii="Times New Roman" w:hAnsi="Times New Roman" w:cs="Times New Roman"/>
          <w:color w:val="auto"/>
        </w:rPr>
        <w:t>aprova:</w:t>
      </w:r>
    </w:p>
    <w:p w:rsidR="008319DC" w:rsidRPr="008319DC" w:rsidRDefault="008319DC" w:rsidP="008319DC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</w:rPr>
      </w:pPr>
    </w:p>
    <w:p w:rsidR="00AD7192" w:rsidRPr="008319DC" w:rsidRDefault="005C5D13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1º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Fica o Poder Executivo Municipal autorizado, nos termos desta Lei, a contratar e garantir financiamentos na linha de crédito do FINISA – Financiamento à Infraestrutura e ao Saneamento – Modalidade Apoio Financeiro destinado à aplicação em Despesa de Capital junto a Caixa Econômica Federal, até o valor de R$ 35.000.000,00 (trinta e cinco milhões de reais), nos termos da Resolução CMN nº 4589/2017 e posteriores alterações e observadas as disposições legais em vigor para contratação de operação de crédito, as normas e as condições específicas e aprovadas pela Caixa Econômica Federal para a operação.</w:t>
      </w:r>
    </w:p>
    <w:p w:rsidR="00AD7192" w:rsidRPr="008319DC" w:rsidRDefault="00AD7192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8319DC">
        <w:rPr>
          <w:rFonts w:ascii="Times New Roman" w:hAnsi="Times New Roman" w:cs="Times New Roman"/>
          <w:sz w:val="24"/>
          <w:szCs w:val="24"/>
        </w:rPr>
        <w:t xml:space="preserve"> Os recursos resultantes do financiamento autorizado neste artigo serão obrigatoriamente aplicados na execução de projeto integrante do FINISA – Financiamento à Infraestrutura e ao Saneamento/Despesa de Capital vedada a aplicação de tais recursos em despesas correntes, em consonância com o § 1º do art. 35, da Lei Complementar Federal nº 101, de 04 de maio de 2000.</w:t>
      </w:r>
    </w:p>
    <w:p w:rsidR="00AD7192" w:rsidRPr="008319DC" w:rsidRDefault="00AD7192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ind w:right="-1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2º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Fica o Poder Executivo autorizado a ceder ou vincular em garantia da operaçã</w:t>
      </w:r>
      <w:r w:rsidR="007A7FF4">
        <w:rPr>
          <w:rFonts w:ascii="Times New Roman" w:hAnsi="Times New Roman" w:cs="Times New Roman"/>
          <w:sz w:val="24"/>
          <w:szCs w:val="24"/>
        </w:rPr>
        <w:t>o de crédito de que trata esta L</w:t>
      </w:r>
      <w:r w:rsidRPr="008319DC">
        <w:rPr>
          <w:rFonts w:ascii="Times New Roman" w:hAnsi="Times New Roman" w:cs="Times New Roman"/>
          <w:sz w:val="24"/>
          <w:szCs w:val="24"/>
        </w:rPr>
        <w:t>ei, as cotas de repartição constitucional, do Imposto de Circulação de Mercadorias – ICMS e/ou Fundo de Participação dos Municípios – FPM até o limite suficiente para o pagamento das prestações e dem</w:t>
      </w:r>
      <w:r w:rsidR="007A7FF4">
        <w:rPr>
          <w:rFonts w:ascii="Times New Roman" w:hAnsi="Times New Roman" w:cs="Times New Roman"/>
          <w:sz w:val="24"/>
          <w:szCs w:val="24"/>
        </w:rPr>
        <w:t xml:space="preserve">ais encargos </w:t>
      </w:r>
      <w:proofErr w:type="gramStart"/>
      <w:r w:rsidR="007A7FF4">
        <w:rPr>
          <w:rFonts w:ascii="Times New Roman" w:hAnsi="Times New Roman" w:cs="Times New Roman"/>
          <w:sz w:val="24"/>
          <w:szCs w:val="24"/>
        </w:rPr>
        <w:t>decorrentes desta L</w:t>
      </w:r>
      <w:bookmarkStart w:id="1" w:name="_GoBack"/>
      <w:bookmarkEnd w:id="1"/>
      <w:r w:rsidRPr="008319DC">
        <w:rPr>
          <w:rFonts w:ascii="Times New Roman" w:hAnsi="Times New Roman" w:cs="Times New Roman"/>
          <w:sz w:val="24"/>
          <w:szCs w:val="24"/>
        </w:rPr>
        <w:t>ei ou autorizado a vincular, como contragarantia à garantia da União, à operação de crédito</w:t>
      </w:r>
      <w:proofErr w:type="gramEnd"/>
      <w:r w:rsidRPr="008319DC">
        <w:rPr>
          <w:rFonts w:ascii="Times New Roman" w:hAnsi="Times New Roman" w:cs="Times New Roman"/>
          <w:sz w:val="24"/>
          <w:szCs w:val="24"/>
        </w:rPr>
        <w:t xml:space="preserve"> de que trata esta Lei, em caráter irrevogável e irretratável, a modo “pro solvendo”, as receitas a que se referem os artigos 158 e 159, inciso I, alínea “b”, “d” e “e” complementadas pelas receitas tributárias estabelecidas no artigo 156, nos termos § 4º do art. 167, todos da Constituição Federal, bem como outras garantias admitidas em direito.</w:t>
      </w:r>
    </w:p>
    <w:p w:rsidR="00AD7192" w:rsidRPr="008319DC" w:rsidRDefault="00AD7192" w:rsidP="008319DC">
      <w:pPr>
        <w:spacing w:line="200" w:lineRule="atLeast"/>
        <w:ind w:left="70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319DC" w:rsidRPr="008319DC" w:rsidRDefault="005C5D13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§ 1º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Para a efetivação da cessão ou vinculação em garantia dos recursos previstos no </w:t>
      </w:r>
      <w:r w:rsidRPr="008319DC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8319DC">
        <w:rPr>
          <w:rFonts w:ascii="Times New Roman" w:hAnsi="Times New Roman" w:cs="Times New Roman"/>
          <w:sz w:val="24"/>
          <w:szCs w:val="24"/>
        </w:rPr>
        <w:t xml:space="preserve"> deste artigo, fica a Caixa Econômica Federal autorizada a transferir os recursos cedidos ou vinculados nos montantes necessários à amortização da dívida nos prazos contratualmente estipulados.</w:t>
      </w:r>
    </w:p>
    <w:p w:rsidR="008319DC" w:rsidRDefault="008319DC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8319DC">
      <w:pPr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8319DC">
      <w:pPr>
        <w:tabs>
          <w:tab w:val="left" w:pos="-1418"/>
        </w:tabs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8319DC">
      <w:pPr>
        <w:tabs>
          <w:tab w:val="left" w:pos="-1418"/>
        </w:tabs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8319DC">
      <w:pPr>
        <w:tabs>
          <w:tab w:val="left" w:pos="-1418"/>
        </w:tabs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8319DC">
      <w:pPr>
        <w:tabs>
          <w:tab w:val="left" w:pos="-1418"/>
        </w:tabs>
        <w:spacing w:line="200" w:lineRule="atLeast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192" w:rsidRPr="008319DC" w:rsidRDefault="005C5D13" w:rsidP="008319DC">
      <w:pPr>
        <w:tabs>
          <w:tab w:val="left" w:pos="-1418"/>
        </w:tabs>
        <w:spacing w:line="200" w:lineRule="atLeast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§ 2º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Na hipótese de insuficiência dos recursos previstos no </w:t>
      </w:r>
      <w:r w:rsidRPr="008319DC">
        <w:rPr>
          <w:rFonts w:ascii="Times New Roman" w:hAnsi="Times New Roman" w:cs="Times New Roman"/>
          <w:i/>
          <w:sz w:val="24"/>
          <w:szCs w:val="24"/>
        </w:rPr>
        <w:t>caput</w:t>
      </w:r>
      <w:r w:rsidRPr="008319DC">
        <w:rPr>
          <w:rFonts w:ascii="Times New Roman" w:hAnsi="Times New Roman" w:cs="Times New Roman"/>
          <w:sz w:val="24"/>
          <w:szCs w:val="24"/>
        </w:rPr>
        <w:t>, fica o Poder Executivo Municipal autorizado a vincular, mediante prévia aceitação da CAIXA, outros recursos para assegurar o pagamento das obrigações financeiras decorrentes do contrato celebrado.</w:t>
      </w:r>
    </w:p>
    <w:p w:rsidR="008319DC" w:rsidRDefault="008319DC" w:rsidP="008319DC">
      <w:pPr>
        <w:tabs>
          <w:tab w:val="left" w:pos="0"/>
          <w:tab w:val="left" w:pos="2268"/>
        </w:tabs>
        <w:spacing w:line="200" w:lineRule="atLeas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tabs>
          <w:tab w:val="left" w:pos="0"/>
        </w:tabs>
        <w:spacing w:line="200" w:lineRule="atLeast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§</w:t>
      </w:r>
      <w:r w:rsidR="00831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19DC">
        <w:rPr>
          <w:rFonts w:ascii="Times New Roman" w:hAnsi="Times New Roman" w:cs="Times New Roman"/>
          <w:bCs/>
          <w:sz w:val="24"/>
          <w:szCs w:val="24"/>
        </w:rPr>
        <w:t>3º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AD7192" w:rsidRPr="008319DC" w:rsidRDefault="005C5D13" w:rsidP="00AD7192">
      <w:pPr>
        <w:tabs>
          <w:tab w:val="left" w:pos="1429"/>
        </w:tabs>
        <w:spacing w:line="200" w:lineRule="atLeast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192" w:rsidRPr="008319DC" w:rsidRDefault="005C5D13" w:rsidP="008319DC">
      <w:pPr>
        <w:tabs>
          <w:tab w:val="left" w:pos="1429"/>
        </w:tabs>
        <w:spacing w:line="200" w:lineRule="atLeast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§ 4º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Para pagamento do principal, juros, tarifas bancárias e outros encargos da operação de crédito, fica a Caixa Econômica Federal autorizada a debitar na conta-corrente mantida em sua agência, a ser indicada no contrato, onde são efetuados os créditos dos recursos do Município, nos montantes necessários à amortização e pagamento final da dívida. </w:t>
      </w:r>
    </w:p>
    <w:p w:rsidR="00AD7192" w:rsidRPr="008319DC" w:rsidRDefault="00AD7192" w:rsidP="00AD7192">
      <w:pPr>
        <w:tabs>
          <w:tab w:val="left" w:pos="1429"/>
        </w:tabs>
        <w:spacing w:line="200" w:lineRule="atLeast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spacing w:after="120"/>
        <w:ind w:right="-1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3º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Os recursos provenientes da operação de crédito objeto do financiamento serão consignados como receita no orçamento ou em créditos adicionais inc. II, § 1º, art. 32, da Lei Complementar Federal nº 101/2000. </w:t>
      </w:r>
    </w:p>
    <w:p w:rsidR="00AD7192" w:rsidRPr="008319DC" w:rsidRDefault="00AD7192" w:rsidP="00AD7192">
      <w:pPr>
        <w:tabs>
          <w:tab w:val="left" w:pos="-15"/>
        </w:tabs>
        <w:spacing w:line="200" w:lineRule="atLeast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tabs>
          <w:tab w:val="left" w:pos="-15"/>
        </w:tabs>
        <w:spacing w:line="200" w:lineRule="atLeast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4º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AD7192" w:rsidRPr="008319DC" w:rsidRDefault="00AD7192" w:rsidP="00AD7192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D7192" w:rsidRPr="008319DC" w:rsidRDefault="005C5D13" w:rsidP="008319DC">
      <w:pPr>
        <w:autoSpaceDE w:val="0"/>
        <w:autoSpaceDN w:val="0"/>
        <w:adjustRightInd w:val="0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5º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Fica o Poder Executivo autorizado a abrir por Decreto créditos especiais ou suplementares no orçamento vigente à época da contratação e/ou liberação dos recursos, conforme artigo 43, § 1º, da Lei Federal nº 4.320/64, até o limite fixado no art. 1º, de modo a atender as receitas e despesas provenientes da operação a ser contratada, em especial criar no PPA-2022-2025 - Lei n° 6.367, de 27 de outubro de 2021, e na LDO – 2023 - Lei n° 6.489, de 14 de julho de 2022, na Secretaria de Esporte, Juventude e Lazer a ação 01.44.11.27.812.1004.1121 – Implantação da Arena poliesportiva Multiuso, cujo produto/indicador é 1 (uma) arena poliesportiva construída até 2024; e na Lei nº 6.547 de 01 de dezembro de 2022 suplementar as seguintes dotações: 01.44.11.27.812.1004.1121.4.4.90.51.00.07 - no valor de R$ 10.000.000,00 (dez milhões) e, promover alterações necessárias na Lei de Diretrizes Orçamentárias e Plano Plurianual vigentes.</w:t>
      </w:r>
    </w:p>
    <w:p w:rsidR="00AD7192" w:rsidRPr="008319DC" w:rsidRDefault="00AD7192" w:rsidP="00AD71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9DC" w:rsidRDefault="008319DC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319DC" w:rsidRDefault="008319DC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D7192" w:rsidRPr="008319DC" w:rsidRDefault="005C5D13" w:rsidP="008319DC">
      <w:pPr>
        <w:spacing w:line="200" w:lineRule="atLeast"/>
        <w:ind w:firstLine="34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bCs/>
          <w:sz w:val="24"/>
          <w:szCs w:val="24"/>
        </w:rPr>
        <w:t>Art. 6º</w:t>
      </w:r>
      <w:r w:rsidRPr="008319D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D7192" w:rsidRDefault="00AD7192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19DC" w:rsidRPr="008319DC" w:rsidRDefault="008319DC" w:rsidP="00AD7192">
      <w:pPr>
        <w:spacing w:line="200" w:lineRule="atLeast"/>
        <w:ind w:firstLine="37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319DC" w:rsidRPr="008319DC" w:rsidRDefault="008319DC" w:rsidP="008319DC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8319DC">
        <w:rPr>
          <w:rFonts w:ascii="Times New Roman" w:hAnsi="Times New Roman" w:cs="Times New Roman"/>
          <w:sz w:val="24"/>
          <w:szCs w:val="24"/>
        </w:rPr>
        <w:t>Mesa da Câmara Municipal de Mogi Mirim, 21 de março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19DC" w:rsidRPr="008319DC" w:rsidRDefault="008319DC" w:rsidP="008319DC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</w:p>
    <w:p w:rsidR="008319DC" w:rsidRDefault="008319DC" w:rsidP="008319DC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319DC" w:rsidRPr="008319DC" w:rsidRDefault="008319DC" w:rsidP="008319D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319DC" w:rsidRDefault="008319DC" w:rsidP="008319D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319DC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D7192" w:rsidRPr="008319DC" w:rsidRDefault="008319DC" w:rsidP="008319D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8319D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D7192" w:rsidRPr="008319DC" w:rsidRDefault="00AD7192" w:rsidP="00AD7192">
      <w:pPr>
        <w:rPr>
          <w:rFonts w:ascii="Times New Roman" w:eastAsia="MS Mincho" w:hAnsi="Times New Roman" w:cs="Times New Roman"/>
          <w:sz w:val="24"/>
          <w:szCs w:val="24"/>
        </w:rPr>
      </w:pPr>
    </w:p>
    <w:p w:rsidR="00AD7192" w:rsidRPr="008319DC" w:rsidRDefault="005C5D13" w:rsidP="00AD7192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319DC">
        <w:rPr>
          <w:rFonts w:ascii="Times New Roman" w:eastAsia="MS Mincho" w:hAnsi="Times New Roman" w:cs="Times New Roman"/>
          <w:b/>
          <w:sz w:val="20"/>
          <w:szCs w:val="20"/>
        </w:rPr>
        <w:t>Projeto de Lei nº 09 de 2023</w:t>
      </w:r>
    </w:p>
    <w:p w:rsidR="00207677" w:rsidRPr="008319DC" w:rsidRDefault="005C5D13" w:rsidP="004D4F7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319D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8319DC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94" w:rsidRDefault="00974D94">
      <w:r>
        <w:separator/>
      </w:r>
    </w:p>
  </w:endnote>
  <w:endnote w:type="continuationSeparator" w:id="0">
    <w:p w:rsidR="00974D94" w:rsidRDefault="0097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94" w:rsidRDefault="00974D94">
      <w:r>
        <w:separator/>
      </w:r>
    </w:p>
  </w:footnote>
  <w:footnote w:type="continuationSeparator" w:id="0">
    <w:p w:rsidR="00974D94" w:rsidRDefault="0097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C5D1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8023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319D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5C5D13">
      <w:rPr>
        <w:rFonts w:ascii="Arial" w:hAnsi="Arial"/>
        <w:b/>
        <w:sz w:val="34"/>
      </w:rPr>
      <w:t xml:space="preserve"> MUNICIPAL DE MOGI MIRIM</w:t>
    </w:r>
  </w:p>
  <w:p w:rsidR="004F0784" w:rsidRDefault="005C5D1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2307A"/>
    <w:rsid w:val="004C736C"/>
    <w:rsid w:val="004D4F7C"/>
    <w:rsid w:val="004F0784"/>
    <w:rsid w:val="004F1341"/>
    <w:rsid w:val="00520F7E"/>
    <w:rsid w:val="005755DE"/>
    <w:rsid w:val="00594412"/>
    <w:rsid w:val="005C5D13"/>
    <w:rsid w:val="00697F7F"/>
    <w:rsid w:val="00700224"/>
    <w:rsid w:val="007A7FF4"/>
    <w:rsid w:val="008319DC"/>
    <w:rsid w:val="00974D94"/>
    <w:rsid w:val="00A5188F"/>
    <w:rsid w:val="00A5794C"/>
    <w:rsid w:val="00A906D8"/>
    <w:rsid w:val="00AB5A74"/>
    <w:rsid w:val="00AD7192"/>
    <w:rsid w:val="00B1337D"/>
    <w:rsid w:val="00C32D95"/>
    <w:rsid w:val="00C43688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D719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2023-03-21T13:17:00Z</dcterms:modified>
</cp:coreProperties>
</file>