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Relatório</w:t>
      </w:r>
    </w:p>
    <w:p>
      <w:pPr>
        <w:pStyle w:val="LO-normal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color w:val="000000"/>
          <w:sz w:val="24"/>
          <w:szCs w:val="24"/>
        </w:rPr>
        <w:t>Projeto de Lei n.º 05/2023</w:t>
      </w:r>
    </w:p>
    <w:p>
      <w:pPr>
        <w:pStyle w:val="LO-normal"/>
        <w:spacing w:before="0"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Processo nº  16 / 2023</w:t>
      </w:r>
    </w:p>
    <w:p>
      <w:pPr>
        <w:pStyle w:val="LO-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  <w:t xml:space="preserve"> </w:t>
        <w:tab/>
      </w:r>
    </w:p>
    <w:p>
      <w:pPr>
        <w:pStyle w:val="LO-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 xml:space="preserve">Conforme determina o artigo 35 </w:t>
      </w:r>
      <w:r>
        <w:rPr>
          <w:color w:val="000000"/>
          <w:sz w:val="24"/>
          <w:szCs w:val="24"/>
        </w:rPr>
        <w:t xml:space="preserve">e 39, combinados com o artigo 45 </w:t>
      </w:r>
      <w:r>
        <w:rPr>
          <w:color w:val="000000"/>
          <w:sz w:val="24"/>
          <w:szCs w:val="24"/>
        </w:rPr>
        <w:t xml:space="preserve">da Resolução 276 de 09 de novembro de 2010 – Regimento Interno da Câmara Municipal, a Comissão Permanente de Justiça e Redação </w:t>
      </w:r>
      <w:r>
        <w:rPr>
          <w:color w:val="000000"/>
          <w:sz w:val="24"/>
          <w:szCs w:val="24"/>
        </w:rPr>
        <w:t xml:space="preserve">conjuntamente com a Comissão de Educação, Saúde, Cultura, Esporte e Assistência Social </w:t>
      </w:r>
      <w:r>
        <w:rPr>
          <w:color w:val="000000"/>
          <w:sz w:val="24"/>
          <w:szCs w:val="24"/>
        </w:rPr>
        <w:t>emite</w:t>
      </w:r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o presente Relatório acerca do Projeto de Lei n.º </w:t>
      </w:r>
      <w:r>
        <w:rPr>
          <w:sz w:val="24"/>
          <w:szCs w:val="24"/>
        </w:rPr>
        <w:t>05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, de autoria do Exma. Sra. Vereadora Mara Cristina Choquetta sob relatoria do Vereador João Victor Gasparini.</w:t>
      </w:r>
    </w:p>
    <w:p>
      <w:pPr>
        <w:pStyle w:val="LO-normal"/>
        <w:spacing w:before="0" w:after="240" w:line="240" w:lineRule="auto"/>
        <w:rPr>
          <w:sz w:val="24"/>
          <w:szCs w:val="24"/>
        </w:rPr>
      </w:pPr>
    </w:p>
    <w:p>
      <w:pPr>
        <w:pStyle w:val="LO-normal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I. Exposição da Matéria</w:t>
      </w:r>
    </w:p>
    <w:p>
      <w:pPr>
        <w:pStyle w:val="LO-normal"/>
        <w:rPr>
          <w:sz w:val="24"/>
          <w:szCs w:val="24"/>
        </w:rPr>
      </w:pPr>
    </w:p>
    <w:p>
      <w:pPr>
        <w:pStyle w:val="LO-normal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  <w:t xml:space="preserve">A Excelentíssima Senhora Vereadora Mara Cristina Choquetta encaminha a esta Casa de Leis o Projeto de Lei nº 05/2023, que </w:t>
      </w:r>
      <w:r>
        <w:rPr>
          <w:b/>
          <w:bCs/>
          <w:color w:val="000000"/>
          <w:sz w:val="24"/>
          <w:szCs w:val="24"/>
        </w:rPr>
        <w:t>“</w:t>
      </w:r>
      <w:r>
        <w:rPr>
          <w:b/>
          <w:bCs/>
          <w:color w:val="000000"/>
        </w:rPr>
        <w:t>DECLARA DE UTILIDADE PÚBLICA A ASSOCIAÇÃO DESPORTIVA E CULTURAL ARTE DA LUTA”</w:t>
      </w:r>
      <w:r>
        <w:rPr>
          <w:b/>
          <w:bCs/>
          <w:color w:val="000000"/>
          <w:sz w:val="24"/>
          <w:szCs w:val="24"/>
        </w:rPr>
        <w:t>.</w:t>
      </w:r>
    </w:p>
    <w:p>
      <w:pPr>
        <w:pStyle w:val="LO-normal"/>
        <w:jc w:val="both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ab/>
      </w:r>
    </w:p>
    <w:p>
      <w:pPr>
        <w:pStyle w:val="LO-normal"/>
        <w:ind w:firstLine="709"/>
        <w:jc w:val="both"/>
        <w:rPr>
          <w:color w:val="000000"/>
          <w:sz w:val="24"/>
          <w:szCs w:val="24"/>
        </w:rPr>
      </w:pPr>
    </w:p>
    <w:p>
      <w:pPr>
        <w:pStyle w:val="LO-normal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II. Do mérito e conclusões do relator</w:t>
      </w:r>
      <w:r>
        <w:rPr>
          <w:color w:val="000000"/>
          <w:sz w:val="24"/>
          <w:szCs w:val="24"/>
        </w:rPr>
        <w:t> </w:t>
      </w:r>
    </w:p>
    <w:p>
      <w:pPr>
        <w:pStyle w:val="LO-normal"/>
        <w:rPr>
          <w:sz w:val="24"/>
          <w:szCs w:val="24"/>
        </w:rPr>
      </w:pPr>
    </w:p>
    <w:p>
      <w:pPr>
        <w:pStyle w:val="LO-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  <w:t>Inicialmente, verifica-se que o projeto se encontra dentro da competência legislativa do Município, conforme determina o artigo 30, inciso I da Constituição Federal, uma vez que se trata de assunto de interesse local.</w:t>
      </w:r>
    </w:p>
    <w:p>
      <w:pPr>
        <w:pStyle w:val="LO-normal"/>
        <w:spacing w:before="240" w:after="24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  <w:tab/>
        <w:t>Por sua vez, o projeto também não apresenta vício de iniciativa pois a matéria não se encontra no rol taxativo de iniciativa privativa do</w:t>
      </w:r>
      <w:r>
        <w:rPr>
          <w:i w:val="0"/>
          <w:color w:val="000000"/>
          <w:sz w:val="24"/>
          <w:szCs w:val="24"/>
        </w:rPr>
        <w:t xml:space="preserve"> Chefe do Poder Executivo. </w:t>
      </w:r>
      <w:r>
        <w:rPr>
          <w:color w:val="000000"/>
          <w:sz w:val="24"/>
          <w:szCs w:val="24"/>
        </w:rPr>
        <w:t>Neste mesmo sentido, a Lei Municipal nº 3.810, de 27 de Junho de 2003, que “</w:t>
      </w:r>
      <w:r>
        <w:rPr>
          <w:i/>
          <w:color w:val="000000"/>
          <w:sz w:val="24"/>
          <w:szCs w:val="24"/>
        </w:rPr>
        <w:t xml:space="preserve">Determina regras pelas quais são as sociedades declaradas de utilidade pública” </w:t>
      </w:r>
      <w:r>
        <w:rPr>
          <w:color w:val="000000"/>
          <w:sz w:val="24"/>
          <w:szCs w:val="24"/>
        </w:rPr>
        <w:t xml:space="preserve">prevê que a iniciativa da matéria pode ser do Poder Executivo ou Legislativo. </w:t>
      </w:r>
    </w:p>
    <w:p>
      <w:pPr>
        <w:pStyle w:val="LO-normal"/>
        <w:spacing w:before="240" w:after="240" w:line="240" w:lineRule="auto"/>
        <w:ind w:left="1416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“</w:t>
      </w:r>
      <w:r>
        <w:rPr>
          <w:i/>
          <w:color w:val="000000"/>
          <w:sz w:val="24"/>
          <w:szCs w:val="24"/>
        </w:rPr>
        <w:t xml:space="preserve">Art.2º A declaração de utilidade pública será feita por Lei Municipal, de iniciativa do Executivo ou do </w:t>
      </w:r>
      <w:r>
        <w:rPr>
          <w:i/>
          <w:color w:val="000000"/>
          <w:sz w:val="24"/>
          <w:szCs w:val="24"/>
          <w:u w:val="single"/>
        </w:rPr>
        <w:t>Legislativo</w:t>
      </w:r>
      <w:r>
        <w:rPr>
          <w:i/>
          <w:color w:val="000000"/>
          <w:sz w:val="24"/>
          <w:szCs w:val="24"/>
        </w:rPr>
        <w:t>”. (grifo nosso)</w:t>
      </w:r>
    </w:p>
    <w:p>
      <w:pPr>
        <w:pStyle w:val="LO-normal"/>
        <w:spacing w:before="240" w:after="24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color w:val="000000"/>
          <w:sz w:val="24"/>
          <w:szCs w:val="24"/>
        </w:rPr>
        <w:t xml:space="preserve"> A declaração de utilidade pública deve ser feita para associações, fundações e instituições que possuam como fim exclusivo, </w:t>
      </w:r>
      <w:r>
        <w:rPr>
          <w:color w:val="000000"/>
          <w:sz w:val="24"/>
          <w:szCs w:val="24"/>
          <w:u w:val="single"/>
        </w:rPr>
        <w:t>servir desinteressadamente à coletividade.</w:t>
      </w:r>
      <w:r>
        <w:rPr>
          <w:color w:val="000000"/>
          <w:sz w:val="24"/>
          <w:szCs w:val="24"/>
        </w:rPr>
        <w:t xml:space="preserve"> </w:t>
      </w:r>
    </w:p>
    <w:p>
      <w:pPr>
        <w:pStyle w:val="LO-normal"/>
        <w:spacing w:before="240" w:after="24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>Devemos lembrar que as instituições declaradas como de Utilidade Pública podem obter benefícios e vantagens, como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exemplo, recebimento de verbas, isenção de taxas e contribuições, entre outras, além de configurar o reconhecimento da importância da atividade perante a sociedade.</w:t>
      </w:r>
    </w:p>
    <w:p>
      <w:pPr>
        <w:pStyle w:val="LO-normal"/>
        <w:spacing w:before="240" w:after="24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>O mesmo diploma legal supracitado (Lei Municipal nº 3.810/03) impõe em seu Art. 1º as condições pelas quais as instituições podem ser declaradas de utilidade pública, sendo: 1) que adquiram personalidade jurídica; 2) que estejam em efetivo funcionamento e sirvam desinteressadamente à coletividade; e 3) que os cargos de sua diretoria, conselhos fiscais, deliberativos ou consultivos não sejam remunerados.</w:t>
      </w:r>
    </w:p>
    <w:p>
      <w:pPr>
        <w:pStyle w:val="LO-normal"/>
        <w:spacing w:before="240" w:after="24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 xml:space="preserve">A Associação </w:t>
      </w:r>
      <w:r>
        <w:rPr>
          <w:sz w:val="24"/>
          <w:szCs w:val="24"/>
        </w:rPr>
        <w:t>Desportiva e Cultural Arte da Luta</w:t>
      </w:r>
      <w:r>
        <w:rPr>
          <w:color w:val="000000"/>
          <w:sz w:val="24"/>
          <w:szCs w:val="24"/>
        </w:rPr>
        <w:t xml:space="preserve">, foi fundada oficialmente em </w:t>
      </w:r>
      <w:r>
        <w:rPr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>
        <w:rPr>
          <w:color w:val="000000"/>
          <w:sz w:val="24"/>
          <w:szCs w:val="24"/>
        </w:rPr>
        <w:t xml:space="preserve"> de 201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regularizando o grupo que</w:t>
      </w:r>
      <w:r>
        <w:rPr>
          <w:sz w:val="24"/>
          <w:szCs w:val="24"/>
        </w:rPr>
        <w:t xml:space="preserve"> desde então vem realizando atividades como aulas de boxe para crianças e adolescentes carentes de Mogi Mirim.</w:t>
      </w:r>
    </w:p>
    <w:p>
      <w:pPr>
        <w:pStyle w:val="LO-normal"/>
        <w:spacing w:before="240" w:after="24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No que se refere às suas finalidades, destaca-se “</w:t>
      </w:r>
      <w:r>
        <w:rPr>
          <w:i/>
          <w:sz w:val="24"/>
          <w:szCs w:val="24"/>
        </w:rPr>
        <w:t>promover, desenvolver, fomentar, massificar e democratizar a prática do esporte e do desenvolvimento cultural em todas as esferas</w:t>
      </w:r>
      <w:r>
        <w:rPr>
          <w:i/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(trecho retirado </w:t>
      </w:r>
      <w:r>
        <w:rPr>
          <w:sz w:val="24"/>
          <w:szCs w:val="24"/>
        </w:rPr>
        <w:t>da ata da Assembleia Extraordinária do Conselho de Administração da Associação</w:t>
      </w:r>
      <w:r>
        <w:rPr>
          <w:color w:val="000000"/>
          <w:sz w:val="24"/>
          <w:szCs w:val="24"/>
        </w:rPr>
        <w:t xml:space="preserve">). O mesmo objetivo se reforça em seu Estatuto Social, </w:t>
      </w:r>
      <w:r>
        <w:rPr>
          <w:sz w:val="24"/>
          <w:szCs w:val="24"/>
        </w:rPr>
        <w:t>anexo ao Projeto de Lei</w:t>
      </w:r>
      <w:r>
        <w:rPr>
          <w:color w:val="000000"/>
          <w:sz w:val="24"/>
          <w:szCs w:val="24"/>
        </w:rPr>
        <w:t>. Para comprovação das ações sociais da associação, o autor apresentou um relatório com registro fotográfico dos trabalhos executados pelo grupo, que segue acostado nos autos deste processo, na folha 04.</w:t>
      </w:r>
    </w:p>
    <w:p>
      <w:pPr>
        <w:pStyle w:val="LO-normal"/>
        <w:spacing w:before="240" w:after="24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A associação possui como órgãos deliberativos a Assembleia Geral dos membros, o Conselho Fiscal</w:t>
      </w:r>
      <w:r>
        <w:rPr>
          <w:sz w:val="24"/>
          <w:szCs w:val="24"/>
        </w:rPr>
        <w:t>, Conselho Deliberativo</w:t>
      </w:r>
      <w:r>
        <w:rPr>
          <w:color w:val="000000"/>
          <w:sz w:val="24"/>
          <w:szCs w:val="24"/>
        </w:rPr>
        <w:t xml:space="preserve"> e uma Diretoria Executivo, sendo que todos exercem suas funções de modo </w:t>
      </w:r>
      <w:r>
        <w:rPr>
          <w:sz w:val="24"/>
          <w:szCs w:val="24"/>
        </w:rPr>
        <w:t>voluntário,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não possuindo nenhuma forma de remuneração ou indenização, conforme disposto no parágrafo </w:t>
      </w:r>
      <w:r>
        <w:rPr>
          <w:sz w:val="24"/>
          <w:szCs w:val="24"/>
          <w:u w:val="single"/>
        </w:rPr>
        <w:t xml:space="preserve">2° </w:t>
      </w:r>
      <w:r>
        <w:rPr>
          <w:color w:val="000000"/>
          <w:sz w:val="24"/>
          <w:szCs w:val="24"/>
          <w:u w:val="single"/>
        </w:rPr>
        <w:t>d</w:t>
      </w:r>
      <w:r>
        <w:rPr>
          <w:sz w:val="24"/>
          <w:szCs w:val="24"/>
          <w:u w:val="single"/>
        </w:rPr>
        <w:t xml:space="preserve">o artigo 29 </w:t>
      </w:r>
      <w:r>
        <w:rPr>
          <w:color w:val="000000"/>
          <w:sz w:val="24"/>
          <w:szCs w:val="24"/>
          <w:u w:val="single"/>
        </w:rPr>
        <w:t>do Estatuto Social</w:t>
      </w:r>
      <w:r>
        <w:rPr>
          <w:color w:val="000000"/>
          <w:sz w:val="24"/>
          <w:szCs w:val="24"/>
        </w:rPr>
        <w:t xml:space="preserve"> (fl. </w:t>
      </w:r>
      <w:r>
        <w:rPr>
          <w:sz w:val="24"/>
          <w:szCs w:val="24"/>
        </w:rPr>
        <w:t>17</w:t>
      </w:r>
      <w:r>
        <w:rPr>
          <w:color w:val="000000"/>
          <w:sz w:val="24"/>
          <w:szCs w:val="24"/>
        </w:rPr>
        <w:t>).</w:t>
      </w:r>
    </w:p>
    <w:p>
      <w:pPr>
        <w:pStyle w:val="LO-normal"/>
        <w:spacing w:before="240" w:after="240" w:line="240" w:lineRule="auto"/>
        <w:ind w:firstLine="0"/>
        <w:jc w:val="both"/>
        <w:rPr>
          <w:sz w:val="24"/>
          <w:szCs w:val="24"/>
        </w:rPr>
      </w:pPr>
      <w:r>
        <w:rPr>
          <w:i w:val="0"/>
          <w:color w:val="000000"/>
          <w:sz w:val="24"/>
          <w:szCs w:val="24"/>
        </w:rPr>
        <w:tab/>
        <w:t xml:space="preserve">Em análise ao projeto e aos documentos </w:t>
      </w:r>
      <w:r>
        <w:rPr>
          <w:color w:val="000000"/>
          <w:sz w:val="24"/>
          <w:szCs w:val="24"/>
        </w:rPr>
        <w:t xml:space="preserve">acostados nos autos, verificamos que a instituição cumpre os </w:t>
      </w:r>
      <w:r>
        <w:rPr>
          <w:sz w:val="24"/>
          <w:szCs w:val="24"/>
        </w:rPr>
        <w:t>pré-requisitos</w:t>
      </w:r>
      <w:r>
        <w:rPr>
          <w:color w:val="000000"/>
          <w:sz w:val="24"/>
          <w:szCs w:val="24"/>
        </w:rPr>
        <w:t xml:space="preserve"> obrigatórios para sua declaração como utilidade pública.</w:t>
      </w:r>
    </w:p>
    <w:p>
      <w:pPr>
        <w:pStyle w:val="LO-normal"/>
        <w:spacing w:before="240" w:after="24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Diante de todo exposto, considerando que a entidade cumpre com o regramento disposto na Legislação Municipal competente, não encontramos óbices à tramitação da propositura.</w:t>
      </w:r>
    </w:p>
    <w:p>
      <w:pPr>
        <w:pStyle w:val="LO-normal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III. Substitutivos, Emendas ou subemendas ao Projeto</w:t>
      </w:r>
    </w:p>
    <w:p>
      <w:pPr>
        <w:pStyle w:val="LO-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ab/>
      </w:r>
    </w:p>
    <w:p>
      <w:pPr>
        <w:pStyle w:val="LO-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>Esta relatoria não possui emendas a propor</w:t>
      </w:r>
    </w:p>
    <w:p>
      <w:pPr>
        <w:pStyle w:val="LO-normal"/>
        <w:jc w:val="both"/>
        <w:rPr>
          <w:color w:val="000000"/>
          <w:sz w:val="24"/>
          <w:szCs w:val="24"/>
        </w:rPr>
      </w:pPr>
    </w:p>
    <w:p>
      <w:pPr>
        <w:pStyle w:val="LO-normal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IV. Decisão d</w:t>
      </w:r>
      <w:r>
        <w:rPr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 xml:space="preserve"> Relator</w:t>
      </w:r>
    </w:p>
    <w:p>
      <w:pPr>
        <w:pStyle w:val="LO-normal"/>
        <w:rPr>
          <w:sz w:val="24"/>
          <w:szCs w:val="24"/>
        </w:rPr>
      </w:pPr>
    </w:p>
    <w:p>
      <w:pPr>
        <w:pStyle w:val="LO-normal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ab/>
        <w:t xml:space="preserve">Esta Relatoria considera que a presente propositura não apresenta vícios de constitucionalidade, recebendo, portanto, parecer </w:t>
      </w:r>
      <w:r>
        <w:rPr>
          <w:b/>
          <w:color w:val="000000"/>
          <w:sz w:val="24"/>
          <w:szCs w:val="24"/>
          <w:highlight w:val="white"/>
        </w:rPr>
        <w:t>FAVORÁVEL</w:t>
      </w:r>
      <w:r>
        <w:rPr>
          <w:b/>
          <w:color w:val="000000"/>
          <w:sz w:val="24"/>
          <w:szCs w:val="24"/>
        </w:rPr>
        <w:t>.</w:t>
      </w:r>
    </w:p>
    <w:p>
      <w:pPr>
        <w:pStyle w:val="LO-normal"/>
        <w:rPr>
          <w:sz w:val="24"/>
          <w:szCs w:val="24"/>
        </w:rPr>
      </w:pPr>
    </w:p>
    <w:p>
      <w:pPr>
        <w:pStyle w:val="LO-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Sala das Comissões, em 15 de março de 2022.</w:t>
      </w:r>
    </w:p>
    <w:p>
      <w:pPr>
        <w:pStyle w:val="LO-normal"/>
        <w:rPr>
          <w:sz w:val="24"/>
          <w:szCs w:val="24"/>
        </w:rPr>
      </w:pPr>
    </w:p>
    <w:p>
      <w:pPr>
        <w:pStyle w:val="LO-normal"/>
        <w:jc w:val="center"/>
        <w:rPr>
          <w:sz w:val="24"/>
          <w:szCs w:val="24"/>
        </w:rPr>
      </w:pPr>
    </w:p>
    <w:p>
      <w:pPr>
        <w:pStyle w:val="LO-normal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COMISSÃO DE JUSTIÇA E REDAÇÃO</w:t>
      </w:r>
    </w:p>
    <w:p>
      <w:pPr>
        <w:pStyle w:val="LO-normal"/>
        <w:spacing w:before="0" w:after="240" w:line="240" w:lineRule="auto"/>
        <w:rPr>
          <w:sz w:val="24"/>
          <w:szCs w:val="24"/>
        </w:rPr>
      </w:pPr>
    </w:p>
    <w:p>
      <w:pPr>
        <w:pStyle w:val="LO-normal"/>
        <w:jc w:val="center"/>
        <w:rPr>
          <w:b/>
          <w:sz w:val="24"/>
          <w:szCs w:val="24"/>
        </w:rPr>
      </w:pPr>
    </w:p>
    <w:p>
      <w:pPr>
        <w:pStyle w:val="LO-normal"/>
        <w:jc w:val="center"/>
        <w:rPr>
          <w:b/>
          <w:sz w:val="24"/>
          <w:szCs w:val="24"/>
        </w:rPr>
      </w:pPr>
    </w:p>
    <w:p>
      <w:pPr>
        <w:pStyle w:val="LO-normal"/>
        <w:jc w:val="center"/>
        <w:rPr>
          <w:b/>
          <w:sz w:val="24"/>
          <w:szCs w:val="24"/>
        </w:rPr>
      </w:pPr>
    </w:p>
    <w:p>
      <w:pPr>
        <w:pStyle w:val="LO-normal"/>
        <w:jc w:val="center"/>
        <w:rPr>
          <w:b/>
          <w:sz w:val="24"/>
          <w:szCs w:val="24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sz w:val="26"/>
          <w:szCs w:val="26"/>
          <w:highlight w:val="white"/>
        </w:rPr>
        <w:t>Vice-presidente/relator</w:t>
      </w:r>
    </w:p>
    <w:p>
      <w:pPr>
        <w:pStyle w:val="LO-normal"/>
        <w:spacing w:before="0" w:after="240" w:line="240" w:lineRule="auto"/>
        <w:jc w:val="left"/>
        <w:rPr>
          <w:sz w:val="24"/>
          <w:szCs w:val="24"/>
        </w:rPr>
      </w:pPr>
    </w:p>
    <w:p>
      <w:pPr>
        <w:pStyle w:val="LO-normal"/>
        <w:spacing w:before="0" w:after="240" w:line="240" w:lineRule="auto"/>
        <w:jc w:val="left"/>
        <w:rPr>
          <w:sz w:val="24"/>
          <w:szCs w:val="24"/>
        </w:rPr>
      </w:pPr>
    </w:p>
    <w:p>
      <w:pPr>
        <w:pStyle w:val="LO-normal"/>
        <w:spacing w:before="0" w:after="240"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PARECER</w:t>
      </w:r>
      <w:r>
        <w:rPr>
          <w:b/>
          <w:sz w:val="24"/>
          <w:szCs w:val="24"/>
        </w:rPr>
        <w:t xml:space="preserve"> CONJUNTO</w:t>
      </w:r>
      <w:r>
        <w:rPr>
          <w:b/>
          <w:color w:val="000000"/>
          <w:sz w:val="24"/>
          <w:szCs w:val="24"/>
        </w:rPr>
        <w:t xml:space="preserve"> DAS COMISS</w:t>
      </w:r>
      <w:r>
        <w:rPr>
          <w:b/>
          <w:sz w:val="24"/>
          <w:szCs w:val="24"/>
        </w:rPr>
        <w:t>ÕES</w:t>
      </w:r>
      <w:r>
        <w:rPr>
          <w:b/>
          <w:color w:val="000000"/>
          <w:sz w:val="24"/>
          <w:szCs w:val="24"/>
        </w:rPr>
        <w:t xml:space="preserve"> DE JUSTIÇA E REDAÇÃO E DE EDUCAÇÃO, SAÚDE, </w:t>
      </w:r>
      <w:r>
        <w:rPr>
          <w:b/>
          <w:sz w:val="24"/>
          <w:szCs w:val="24"/>
        </w:rPr>
        <w:t xml:space="preserve">CULTURA, </w:t>
      </w:r>
      <w:r>
        <w:rPr>
          <w:b/>
          <w:color w:val="000000"/>
          <w:sz w:val="24"/>
          <w:szCs w:val="24"/>
        </w:rPr>
        <w:t>ESP</w:t>
      </w:r>
      <w:r>
        <w:rPr>
          <w:b/>
          <w:sz w:val="24"/>
          <w:szCs w:val="24"/>
        </w:rPr>
        <w:t>ORTE E ASSISTÊNCIA SOCIAL.</w:t>
      </w:r>
    </w:p>
    <w:p>
      <w:pPr>
        <w:pStyle w:val="LO-normal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Em consonância ao voto favorável d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relator,</w:t>
      </w:r>
      <w:r>
        <w:rPr>
          <w:color w:val="000000"/>
          <w:sz w:val="24"/>
          <w:szCs w:val="24"/>
        </w:rPr>
        <w:t xml:space="preserve"> sob embasamento do artigo 35, 3</w:t>
      </w:r>
      <w:r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e 45 do Regimento Interno da Câmara Municipal, as Comissões de </w:t>
      </w:r>
      <w:r>
        <w:rPr>
          <w:sz w:val="24"/>
          <w:szCs w:val="24"/>
        </w:rPr>
        <w:t>Justiça e Redação e de Educação, Saúde, Cultura, Esporte e Assistência Social  formalizam</w:t>
      </w:r>
      <w:r>
        <w:rPr>
          <w:color w:val="000000"/>
          <w:sz w:val="24"/>
          <w:szCs w:val="24"/>
        </w:rPr>
        <w:t xml:space="preserve"> o presente </w:t>
      </w:r>
      <w:r>
        <w:rPr>
          <w:b/>
          <w:color w:val="000000"/>
          <w:sz w:val="24"/>
          <w:szCs w:val="24"/>
        </w:rPr>
        <w:t xml:space="preserve">PARECER FAVORÁVEL </w:t>
      </w:r>
      <w:r>
        <w:rPr>
          <w:color w:val="000000"/>
          <w:sz w:val="24"/>
          <w:szCs w:val="24"/>
        </w:rPr>
        <w:t>ao</w:t>
      </w:r>
      <w:r>
        <w:rPr>
          <w:b/>
          <w:color w:val="000000"/>
          <w:sz w:val="24"/>
          <w:szCs w:val="24"/>
        </w:rPr>
        <w:t xml:space="preserve"> Projeto de Lei n°</w:t>
      </w:r>
      <w:r>
        <w:rPr>
          <w:b/>
          <w:sz w:val="24"/>
          <w:szCs w:val="24"/>
        </w:rPr>
        <w:t xml:space="preserve"> 0</w:t>
      </w:r>
      <w:r>
        <w:rPr>
          <w:b/>
          <w:color w:val="000000"/>
          <w:sz w:val="24"/>
          <w:szCs w:val="24"/>
        </w:rPr>
        <w:t>5 de 2023</w:t>
      </w:r>
      <w:r>
        <w:rPr>
          <w:color w:val="000000"/>
          <w:sz w:val="24"/>
          <w:szCs w:val="24"/>
        </w:rPr>
        <w:t>.</w:t>
      </w:r>
    </w:p>
    <w:p>
      <w:pPr>
        <w:pStyle w:val="LO-normal"/>
        <w:jc w:val="both"/>
        <w:rPr>
          <w:sz w:val="24"/>
          <w:szCs w:val="24"/>
        </w:rPr>
      </w:pPr>
    </w:p>
    <w:p>
      <w:pPr>
        <w:pStyle w:val="LO-normal"/>
        <w:spacing w:before="240" w:after="0" w:line="240" w:lineRule="auto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Sala das Comissões, em 15 de março de 2023.</w:t>
      </w:r>
    </w:p>
    <w:p>
      <w:pPr>
        <w:pStyle w:val="LO-normal"/>
        <w:spacing w:before="0" w:after="140" w:line="240" w:lineRule="auto"/>
        <w:rPr>
          <w:sz w:val="26"/>
          <w:szCs w:val="26"/>
        </w:rPr>
      </w:pPr>
    </w:p>
    <w:p>
      <w:pPr>
        <w:pStyle w:val="LO-normal"/>
        <w:spacing w:before="240" w:after="0" w:line="24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COMISSÃO DE JUSTIÇA E REDAÇÃO</w:t>
      </w:r>
    </w:p>
    <w:p>
      <w:pPr>
        <w:pStyle w:val="LO-normal"/>
        <w:spacing w:before="0" w:after="140" w:line="240" w:lineRule="auto"/>
        <w:rPr>
          <w:sz w:val="24"/>
          <w:szCs w:val="24"/>
        </w:rPr>
      </w:pPr>
    </w:p>
    <w:p>
      <w:pPr>
        <w:pStyle w:val="LO-normal"/>
        <w:jc w:val="center"/>
        <w:rPr>
          <w:b/>
          <w:sz w:val="24"/>
          <w:szCs w:val="24"/>
        </w:rPr>
      </w:pPr>
    </w:p>
    <w:p>
      <w:pPr>
        <w:pStyle w:val="LO-normal"/>
        <w:rPr>
          <w:b/>
          <w:sz w:val="24"/>
          <w:szCs w:val="24"/>
        </w:rPr>
      </w:pPr>
    </w:p>
    <w:p>
      <w:pPr>
        <w:pStyle w:val="LO-normal"/>
        <w:jc w:val="center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VEREADOR MARCOS PAULO CEGATTI</w:t>
      </w:r>
    </w:p>
    <w:p>
      <w:pPr>
        <w:pStyle w:val="LO-normal"/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>Presidente</w:t>
      </w:r>
    </w:p>
    <w:p>
      <w:pPr>
        <w:pStyle w:val="LO-normal"/>
        <w:spacing w:before="0" w:after="240" w:line="240" w:lineRule="auto"/>
        <w:rPr>
          <w:sz w:val="24"/>
          <w:szCs w:val="24"/>
        </w:rPr>
      </w:pPr>
    </w:p>
    <w:p>
      <w:pPr>
        <w:pStyle w:val="LO-normal"/>
        <w:spacing w:before="0" w:after="240" w:line="240" w:lineRule="auto"/>
        <w:rPr>
          <w:sz w:val="24"/>
          <w:szCs w:val="24"/>
        </w:rPr>
      </w:pPr>
    </w:p>
    <w:p>
      <w:pPr>
        <w:pStyle w:val="LO-normal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VEREADOR JOÃO VICTOR GASPARINI</w:t>
      </w:r>
    </w:p>
    <w:p>
      <w:pPr>
        <w:pStyle w:val="LO-normal"/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>Vice-presidente/relator</w:t>
      </w:r>
    </w:p>
    <w:p>
      <w:pPr>
        <w:pStyle w:val="LO-normal"/>
        <w:spacing w:before="0" w:after="24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MARCIO EVANDRO RIBEIRO</w:t>
      </w:r>
    </w:p>
    <w:p>
      <w:pPr>
        <w:pStyle w:val="LO-normal"/>
        <w:jc w:val="center"/>
        <w:rPr>
          <w:sz w:val="24"/>
          <w:szCs w:val="24"/>
          <w:highlight w:val="white"/>
        </w:rPr>
      </w:pPr>
      <w:r>
        <w:rPr>
          <w:sz w:val="24"/>
          <w:szCs w:val="24"/>
        </w:rPr>
        <w:t>Membro </w:t>
      </w:r>
    </w:p>
    <w:p>
      <w:pPr>
        <w:pStyle w:val="LO-normal"/>
        <w:jc w:val="center"/>
        <w:rPr>
          <w:sz w:val="24"/>
          <w:szCs w:val="24"/>
          <w:highlight w:val="white"/>
        </w:rPr>
      </w:pPr>
    </w:p>
    <w:p>
      <w:pPr>
        <w:pStyle w:val="LO-normal"/>
        <w:spacing w:before="0" w:after="24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COMISSÃO </w:t>
      </w:r>
      <w:r>
        <w:rPr>
          <w:b/>
          <w:sz w:val="24"/>
          <w:szCs w:val="24"/>
          <w:u w:val="single"/>
        </w:rPr>
        <w:t>DE EDUCAÇÃO, SAÚDE, CULTURA, ESPORTES E ASSISTÊNCIA SOCIAL</w:t>
      </w:r>
    </w:p>
    <w:p>
      <w:pPr>
        <w:pStyle w:val="LO-normal"/>
        <w:spacing w:before="0" w:after="240" w:line="240" w:lineRule="auto"/>
        <w:jc w:val="center"/>
        <w:rPr>
          <w:b/>
          <w:sz w:val="24"/>
          <w:szCs w:val="24"/>
          <w:u w:val="single"/>
        </w:rPr>
      </w:pP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LUZIA CRISTINA CORTES NOGUEIRA</w:t>
      </w:r>
    </w:p>
    <w:p>
      <w:pPr>
        <w:pStyle w:val="LO-normal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>
      <w:pPr>
        <w:pStyle w:val="LO-normal"/>
        <w:spacing w:before="0" w:after="240" w:line="240" w:lineRule="auto"/>
        <w:jc w:val="center"/>
        <w:rPr>
          <w:b/>
          <w:sz w:val="24"/>
          <w:szCs w:val="24"/>
          <w:u w:val="single"/>
        </w:rPr>
      </w:pPr>
    </w:p>
    <w:p>
      <w:pPr>
        <w:pStyle w:val="LO-normal"/>
        <w:spacing w:before="0" w:after="240" w:line="240" w:lineRule="auto"/>
        <w:jc w:val="center"/>
        <w:rPr>
          <w:b/>
          <w:sz w:val="24"/>
          <w:szCs w:val="24"/>
          <w:u w:val="single"/>
        </w:rPr>
      </w:pP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VEREADORA DR. LÚCIA MARIA FERREIRA TENÓRIO</w:t>
      </w:r>
    </w:p>
    <w:p>
      <w:pPr>
        <w:pStyle w:val="LO-normal"/>
        <w:spacing w:before="0" w:after="240" w:line="240" w:lineRule="auto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Vice-presidente</w:t>
      </w:r>
    </w:p>
    <w:p>
      <w:pPr>
        <w:pStyle w:val="LO-normal"/>
        <w:spacing w:before="0" w:after="240" w:line="240" w:lineRule="auto"/>
        <w:rPr>
          <w:b/>
          <w:sz w:val="24"/>
          <w:szCs w:val="24"/>
          <w:u w:val="single"/>
        </w:rPr>
      </w:pPr>
    </w:p>
    <w:p>
      <w:pPr>
        <w:pStyle w:val="LO-normal"/>
        <w:jc w:val="center"/>
        <w:rPr>
          <w:sz w:val="24"/>
          <w:szCs w:val="24"/>
        </w:rPr>
      </w:pPr>
    </w:p>
    <w:p>
      <w:pPr>
        <w:pStyle w:val="LO-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JOELMA FRANCO DA CUNHA</w:t>
      </w:r>
    </w:p>
    <w:p>
      <w:pPr>
        <w:pStyle w:val="LO-normal"/>
        <w:jc w:val="center"/>
        <w:rPr>
          <w:sz w:val="24"/>
          <w:szCs w:val="24"/>
          <w:highlight w:val="white"/>
        </w:rPr>
      </w:pPr>
      <w:r>
        <w:rPr>
          <w:sz w:val="24"/>
          <w:szCs w:val="24"/>
        </w:rPr>
        <w:t>Membro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700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Georgi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848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" name="Figura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85pt;height:12.15pt;margin-top:0;margin-left:456pt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721155" name="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Bookman Old Style" w:eastAsia="Bookman Old Style" w:hAnsi="Bookman Old Style" w:cs="Bookman Old Style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130" cy="24130"/>
              <wp:effectExtent l="0" t="0" r="0" b="0"/>
              <wp:wrapSquare wrapText="bothSides"/>
              <wp:docPr id="4" name="Figura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Times New Roman" w:cs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20"/>
                              <w:vertAlign w:val="baseline"/>
                            </w:rPr>
                            <w:t>PAGE 0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.85pt;height:1.85pt;margin-top:0;margin-left:456pt;mso-wrap-style:square;position:absolute;v-text-anchor:top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0"/>
                        <w:i w:val="0"/>
                        <w:caps w:val="0"/>
                        <w:smallCaps w:val="0"/>
                        <w:strike w:val="0"/>
                        <w:dstrike w:val="0"/>
                        <w:color w:val="000000"/>
                        <w:position w:val="0"/>
                        <w:sz w:val="20"/>
                        <w:vertAlign w:val="baseline"/>
                      </w:rPr>
                      <w:t>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111600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7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.85pt;height:12.15pt;margin-top:0;margin-left:45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Bookman Old Style" w:eastAsia="Bookman Old Style" w:hAnsi="Bookman Old Style" w:cs="Bookman Old Style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Bookman Old Style" w:eastAsia="Bookman Old Style" w:hAnsi="Bookman Old Style" w:cs="Bookman Old Style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9" name="image1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66453" name="image1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4130" cy="154940"/>
              <wp:effectExtent l="0" t="0" r="0" b="0"/>
              <wp:wrapSquare wrapText="bothSides"/>
              <wp:docPr id="10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2" style="width:1.85pt;height:12.15pt;margin-top:0;margin-left:456pt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Bookman Old Style" w:eastAsia="Bookman Old Style" w:hAnsi="Bookman Old Style" w:cs="Bookman Old Style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left"/>
      <w:rPr>
        <w:rFonts w:ascii="Bookman Old Style" w:eastAsia="Bookman Old Style" w:hAnsi="Bookman Old Style" w:cs="Bookman Old Style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3</Pages>
  <Words>796</Words>
  <Characters>4464</Characters>
  <Application>Microsoft Office Word</Application>
  <DocSecurity>0</DocSecurity>
  <Lines>0</Lines>
  <Paragraphs>56</Paragraphs>
  <ScaleCrop>false</ScaleCrop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2023-03-23T15:02:55Z</cp:lastPrinted>
  <dcterms:modified xsi:type="dcterms:W3CDTF">2023-03-23T17:02:08Z</dcterms:modified>
  <dc:language>pt-BR</dc:language>
</cp:coreProperties>
</file>