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Arial"/>
          <w:b/>
          <w:bCs/>
          <w:color w:val="000000"/>
          <w:sz w:val="26"/>
          <w:szCs w:val="26"/>
        </w:rPr>
        <w:t>RELATÓRIO</w:t>
      </w:r>
    </w:p>
    <w:p>
      <w:pPr>
        <w:spacing w:before="0" w:after="0" w:line="240" w:lineRule="auto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ascii="Calibri" w:hAnsi="Calibri" w:cs="Arial"/>
          <w:b/>
          <w:bCs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Projeto de Lei n.º </w:t>
      </w:r>
      <w:r>
        <w:rPr>
          <w:rFonts w:ascii="Calibri" w:hAnsi="Calibri" w:cs="Arial"/>
          <w:b/>
          <w:bCs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07</w:t>
      </w:r>
      <w:r>
        <w:rPr>
          <w:rFonts w:ascii="Calibri" w:hAnsi="Calibri" w:cs="Arial"/>
          <w:b/>
          <w:bCs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/202</w:t>
      </w:r>
      <w:r>
        <w:rPr>
          <w:rFonts w:ascii="Calibri" w:hAnsi="Calibri" w:cs="Arial"/>
          <w:b/>
          <w:bCs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3</w:t>
      </w:r>
    </w:p>
    <w:p>
      <w:pPr>
        <w:pStyle w:val="BodyText"/>
        <w:bidi w:val="0"/>
        <w:spacing w:before="0" w:after="0" w:line="240" w:lineRule="auto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Processo nº 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11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/202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3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Conforme determinam os artigos 35, 37,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38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e 39, combinados com o artigo 45, da Resolução 276 de 09 de novembro de 2010 – Regimento Interno da Câmara Municipal, a Comissão Permanente de Justiça e Redação conjuntamente com as Comissões Permanentes de Educação, Saúde, Cultura, Esporte e Assistência Social,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de Obras, Serviços Públicos e Atividades Privadas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e de Finanças e Orçamento emitem o presente Relatório acerca do Projeto de Lei nº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07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/202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3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, de autoria do Exmo. Sr. Prefeito Municipal, sob relatoria da Vereadora Mara Cristina Choquetta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O Excelentíssimo Senhor Prefeito Dr. Paulo de Oliveira e Silva encaminha a esta Casa de Leis o Projeto de Lei nº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07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/2.02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3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, que </w:t>
      </w:r>
      <w:r>
        <w:rPr>
          <w:rFonts w:ascii="Calibri" w:hAnsi="Calibri"/>
          <w:b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“</w:t>
      </w:r>
      <w:r>
        <w:rPr>
          <w:rFonts w:ascii="Calibri" w:hAnsi="Calibri"/>
          <w:b/>
          <w:b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DISPÕE SOBRE A ABERTURA DE CRÉDITO </w:t>
      </w:r>
      <w:r>
        <w:rPr>
          <w:rFonts w:ascii="Calibri" w:hAnsi="Calibri"/>
          <w:b/>
          <w:b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ADICIONAL ESPECIAL </w:t>
      </w:r>
      <w:r>
        <w:rPr>
          <w:rFonts w:ascii="Calibri" w:hAnsi="Calibri"/>
          <w:b/>
          <w:b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SUPLEMENTAR, POR </w:t>
      </w:r>
      <w:r>
        <w:rPr>
          <w:rFonts w:ascii="Calibri" w:hAnsi="Calibri"/>
          <w:b/>
          <w:b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EXCESSO DE ARRECADAÇÃO,</w:t>
      </w:r>
      <w:r>
        <w:rPr>
          <w:rFonts w:ascii="Calibri" w:hAnsi="Calibri"/>
          <w:b/>
          <w:b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NO VALOR DE R$ </w:t>
      </w:r>
      <w:r>
        <w:rPr>
          <w:rFonts w:ascii="Calibri" w:hAnsi="Calibri"/>
          <w:b/>
          <w:b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250</w:t>
      </w:r>
      <w:r>
        <w:rPr>
          <w:rFonts w:ascii="Calibri" w:hAnsi="Calibri"/>
          <w:b/>
          <w:b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.000,00”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O referido Projeto de Lei busca a autorização legislativa desta Casa de Leis para a abertura de crédito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adicional especial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suplementar, por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excesso de arrecadação deste exercício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,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com recursos de origem Estadual, dentro da Secretaria Municipal de Mobilidade Urbana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O recurso ora em tela é proveniente de um programa de transferência de recursos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financeiros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do Governo do Estado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d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e São Paulo,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por intermédio do programa “Calçadas Acessíveis” vinculada à Secretaria de Desenvolvimento Regional, que tem o intuito de firmar parcerias com os municípios para aquisição de equipamentos ou obras que promovam a inclusão social e acessibilidade na cidade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Desta forma, sendo o município contemplado com tal parceria, a administração busca realizar obras de acessibilidade nas praças públicas da cidade, iniciando com a Praça Rui Barbosa/Praça São José. 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O projeto prevê a reforma das laterais e cantos da praça,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retirando o atual piso, constituído por “pedra portuguesa”,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implantando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no local,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piso podotátil,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reformulação das rampas de acesso, piso tátil direcional e colocação de concreto “liso” nas laterais do novo piso, conforme cópia do projeto anexo nos autos. Todas essas medidas visam melhorar a acessibilidade dos munícipes que possuem </w:t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mobilidade reduzida.</w:t>
      </w:r>
    </w:p>
    <w:p>
      <w:pPr>
        <w:pStyle w:val="BodyText"/>
        <w:bidi w:val="0"/>
        <w:spacing w:before="240" w:after="0" w:line="240" w:lineRule="auto"/>
        <w:jc w:val="both"/>
        <w:rPr>
          <w:rFonts w:eastAsia="Arial" w:cs="Arial"/>
          <w:b w:val="0"/>
          <w:i w:val="0"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II. Do mérito e conclusões da relatora</w:t>
      </w:r>
    </w:p>
    <w:p>
      <w:pPr>
        <w:pStyle w:val="BodyText"/>
        <w:bidi w:val="0"/>
        <w:spacing w:before="240" w:after="24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Calibri" w:eastAsia="Arial" w:hAnsi="Calibri" w:cs="Arial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Inicialmente, verifica-se que se trata de um assunto de competência legislativa do Município, conforme determina o artigo 30, inciso I da Constituição Federal, que dispõem sobre:</w:t>
      </w:r>
    </w:p>
    <w:p>
      <w:pPr>
        <w:shd w:val="clear" w:color="auto" w:fill="FFFFFF"/>
        <w:spacing w:before="200" w:after="200" w:line="240" w:lineRule="auto"/>
        <w:ind w:left="2880" w:right="0" w:firstLine="578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i/>
          <w:sz w:val="26"/>
          <w:szCs w:val="26"/>
        </w:rPr>
        <w:t>“</w:t>
      </w:r>
      <w:r>
        <w:rPr>
          <w:rFonts w:ascii="Calibri" w:eastAsia="Arial" w:hAnsi="Calibri" w:cs="Arial"/>
          <w:i/>
          <w:sz w:val="26"/>
          <w:szCs w:val="26"/>
        </w:rPr>
        <w:t>Art. 30. Compete aos Municípios:</w:t>
      </w:r>
    </w:p>
    <w:p>
      <w:pPr>
        <w:shd w:val="clear" w:color="auto" w:fill="FFFFFF"/>
        <w:spacing w:before="200" w:after="200" w:line="240" w:lineRule="auto"/>
        <w:ind w:left="2880" w:right="0" w:firstLine="578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i/>
          <w:sz w:val="26"/>
          <w:szCs w:val="26"/>
        </w:rPr>
        <w:t>I - legislar sobre assuntos de interesse local;</w:t>
      </w:r>
    </w:p>
    <w:p>
      <w:pPr>
        <w:shd w:val="clear" w:color="auto" w:fill="FFFFFF"/>
        <w:spacing w:before="240" w:after="240" w:line="240" w:lineRule="auto"/>
        <w:ind w:left="0" w:right="0"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t>A propositura ainda respeita a iniciativa privativa do Chefe do Poder Executivo, conforme determina art. 51 da Lei Orgânica do Município - LOMM:</w:t>
      </w:r>
    </w:p>
    <w:p>
      <w:pPr>
        <w:shd w:val="clear" w:color="auto" w:fill="FFFFFF"/>
        <w:spacing w:before="240" w:after="240" w:line="240" w:lineRule="auto"/>
        <w:ind w:left="3622" w:right="0" w:hanging="22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i/>
          <w:iCs/>
          <w:sz w:val="26"/>
          <w:szCs w:val="26"/>
        </w:rPr>
        <w:t>“</w:t>
      </w:r>
      <w:r>
        <w:rPr>
          <w:rFonts w:ascii="Calibri" w:eastAsia="Arial" w:hAnsi="Calibri" w:cs="Arial"/>
          <w:i/>
          <w:iCs/>
          <w:sz w:val="26"/>
          <w:szCs w:val="26"/>
        </w:rPr>
        <w:t>Art. 51. São de iniciativa exclusiva do Prefeito as leis que disponham sobre:</w:t>
      </w:r>
    </w:p>
    <w:p>
      <w:pPr>
        <w:shd w:val="clear" w:color="auto" w:fill="FFFFFF"/>
        <w:spacing w:before="240" w:after="240" w:line="240" w:lineRule="auto"/>
        <w:ind w:left="3622" w:right="0" w:hanging="22"/>
        <w:contextualSpacing/>
        <w:jc w:val="both"/>
        <w:rPr>
          <w:rFonts w:ascii="Calibri" w:eastAsia="Arial" w:hAnsi="Calibri" w:cs="Arial"/>
          <w:i/>
          <w:iCs/>
          <w:sz w:val="26"/>
          <w:szCs w:val="26"/>
        </w:rPr>
      </w:pPr>
    </w:p>
    <w:p>
      <w:pPr>
        <w:shd w:val="clear" w:color="auto" w:fill="FFFFFF"/>
        <w:spacing w:before="240" w:after="240" w:line="240" w:lineRule="auto"/>
        <w:ind w:left="3622" w:right="0" w:hanging="22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i/>
          <w:iCs/>
          <w:sz w:val="26"/>
          <w:szCs w:val="26"/>
        </w:rPr>
        <w:t>I – criação, transformação ou extinção de cargos, funções ou empregos públicos, na Administração ou aumento de sua remuneração;</w:t>
      </w:r>
    </w:p>
    <w:p>
      <w:pPr>
        <w:shd w:val="clear" w:color="auto" w:fill="FFFFFF"/>
        <w:spacing w:before="240" w:after="240" w:line="240" w:lineRule="auto"/>
        <w:ind w:left="3622" w:right="0" w:hanging="22"/>
        <w:contextualSpacing/>
        <w:jc w:val="both"/>
        <w:rPr>
          <w:rFonts w:ascii="Calibri" w:eastAsia="Arial" w:hAnsi="Calibri" w:cs="Arial"/>
          <w:i/>
          <w:iCs/>
          <w:sz w:val="26"/>
          <w:szCs w:val="26"/>
        </w:rPr>
      </w:pPr>
    </w:p>
    <w:p>
      <w:pPr>
        <w:shd w:val="clear" w:color="auto" w:fill="FFFFFF"/>
        <w:spacing w:before="240" w:after="240" w:line="240" w:lineRule="auto"/>
        <w:ind w:left="3622" w:right="0" w:hanging="22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i/>
          <w:iCs/>
          <w:sz w:val="26"/>
          <w:szCs w:val="26"/>
        </w:rPr>
        <w:t>II – servidores públicos, seu regime jurídico, provimentos de cargos, estabilidade e aposentadoria;</w:t>
      </w:r>
    </w:p>
    <w:p>
      <w:pPr>
        <w:shd w:val="clear" w:color="auto" w:fill="FFFFFF"/>
        <w:spacing w:before="240" w:after="240" w:line="240" w:lineRule="auto"/>
        <w:ind w:left="3600" w:right="0" w:firstLine="0"/>
        <w:contextualSpacing/>
        <w:jc w:val="both"/>
        <w:rPr>
          <w:rFonts w:ascii="Calibri" w:eastAsia="Arial" w:hAnsi="Calibri" w:cs="Arial"/>
          <w:i/>
          <w:iCs/>
          <w:sz w:val="26"/>
          <w:szCs w:val="26"/>
        </w:rPr>
      </w:pPr>
    </w:p>
    <w:p>
      <w:pPr>
        <w:shd w:val="clear" w:color="auto" w:fill="FFFFFF"/>
        <w:spacing w:before="240" w:after="240" w:line="240" w:lineRule="auto"/>
        <w:ind w:left="3600" w:right="0" w:firstLine="0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i/>
          <w:iCs/>
          <w:sz w:val="26"/>
          <w:szCs w:val="26"/>
        </w:rPr>
        <w:t>[...]</w:t>
      </w:r>
    </w:p>
    <w:p>
      <w:pPr>
        <w:shd w:val="clear" w:color="auto" w:fill="FFFFFF"/>
        <w:spacing w:before="240" w:after="240" w:line="240" w:lineRule="auto"/>
        <w:ind w:left="3600" w:right="0" w:firstLine="720"/>
        <w:contextualSpacing/>
        <w:jc w:val="both"/>
        <w:rPr>
          <w:rFonts w:ascii="Calibri" w:eastAsia="Arial" w:hAnsi="Calibri" w:cs="Arial"/>
          <w:i/>
          <w:iCs/>
          <w:sz w:val="26"/>
          <w:szCs w:val="26"/>
        </w:rPr>
      </w:pPr>
    </w:p>
    <w:p>
      <w:pPr>
        <w:shd w:val="clear" w:color="auto" w:fill="FFFFFF"/>
        <w:spacing w:before="240" w:after="240" w:line="240" w:lineRule="auto"/>
        <w:ind w:left="3600" w:right="0" w:hanging="22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i/>
          <w:iCs/>
          <w:sz w:val="26"/>
          <w:szCs w:val="26"/>
        </w:rPr>
        <w:t>IV – matéria orçamentária e a que se autorize a abertura de créditos ou conceda auxílio, prêmios e subvenções;”.</w:t>
      </w:r>
    </w:p>
    <w:p>
      <w:pPr>
        <w:shd w:val="clear" w:color="auto" w:fill="FFFFFF"/>
        <w:spacing w:before="240" w:after="240" w:line="240" w:lineRule="auto"/>
        <w:ind w:left="0" w:right="0"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t xml:space="preserve">Com relação à legalidade do projeto, a Lei Federal n.º 4.320/64 dispõe que os créditos </w:t>
      </w:r>
      <w:r>
        <w:rPr>
          <w:rFonts w:ascii="Calibri" w:eastAsia="Arial" w:hAnsi="Calibri" w:cs="Arial"/>
          <w:sz w:val="26"/>
          <w:szCs w:val="26"/>
        </w:rPr>
        <w:t xml:space="preserve">adicionais especiais </w:t>
      </w:r>
      <w:r>
        <w:rPr>
          <w:rFonts w:ascii="Calibri" w:eastAsia="Arial" w:hAnsi="Calibri" w:cs="Arial"/>
          <w:sz w:val="26"/>
          <w:szCs w:val="26"/>
        </w:rPr>
        <w:t xml:space="preserve">suplementares são aqueles destinados a reforço de dotação orçamentária </w:t>
      </w:r>
      <w:r>
        <w:rPr>
          <w:rFonts w:ascii="Calibri" w:eastAsia="Arial" w:hAnsi="Calibri" w:cs="Arial"/>
          <w:sz w:val="26"/>
          <w:szCs w:val="26"/>
        </w:rPr>
        <w:t>ou destinados a despesas que ainda não possuem dotação específica</w:t>
      </w:r>
      <w:r>
        <w:rPr>
          <w:rFonts w:ascii="Calibri" w:eastAsia="Arial" w:hAnsi="Calibri" w:cs="Arial"/>
          <w:sz w:val="26"/>
          <w:szCs w:val="26"/>
        </w:rPr>
        <w:t xml:space="preserve">. Dispõe também que a abertura do crédito suplementar dependerá da existência de recursos disponíveis para ocorrer a despesa. </w:t>
      </w:r>
      <w:r>
        <w:rPr>
          <w:rFonts w:ascii="Calibri" w:eastAsia="Arial" w:hAnsi="Calibri" w:cs="Arial"/>
          <w:sz w:val="26"/>
          <w:szCs w:val="26"/>
        </w:rPr>
        <w:t>Neste sentido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 xml:space="preserve">, a propositura informa que a fonte de recursos para 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>o referido crédito adicional, será suportado por recursos de origem estadual.</w:t>
      </w:r>
    </w:p>
    <w:p>
      <w:pPr>
        <w:shd w:val="clear" w:color="auto" w:fill="FFFFFF"/>
        <w:spacing w:before="240" w:after="240" w:line="240" w:lineRule="auto"/>
        <w:ind w:left="0" w:right="0"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  <w:shd w:val="clear" w:color="auto" w:fill="FFFFFF"/>
        </w:rPr>
        <w:t>A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 xml:space="preserve">inda no que se refere ao 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>devido processo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 xml:space="preserve"> legal da proposta, considerando orientação do citado programa estadual, e, 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>observando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 xml:space="preserve"> ao que estabelece a Lei Orgânica de Mogi Mirim – LOMM, de antes de proceder com qualquer alteração, reforma ou modificação em bem público tombado, se faz obrigatório uma audiência pública para discussão do projeto, o Poder Executivo promoveu uma audiência pública no dia 16 de março de 2023, (conforme ata e lista de presença anexa) pois, parte do entorno da Igreja Matriz de São José (Praça São José) é tombada como Patrimônio Histórico, por força da 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>L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 xml:space="preserve">ei 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>M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 xml:space="preserve">unicipal nº 5.309/2012, </w:t>
      </w:r>
      <w:r>
        <w:rPr>
          <w:rFonts w:ascii="Calibri" w:eastAsia="Arial" w:hAnsi="Calibri" w:cs="Arial"/>
          <w:sz w:val="26"/>
          <w:szCs w:val="26"/>
          <w:shd w:val="clear" w:color="auto" w:fill="FFFFFF"/>
        </w:rPr>
        <w:t xml:space="preserve">cumprindo, então, com todas exigências legais previstas. </w:t>
      </w:r>
    </w:p>
    <w:p>
      <w:pPr>
        <w:shd w:val="clear" w:color="auto" w:fill="FFFFFF"/>
        <w:spacing w:before="240" w:after="240" w:line="240" w:lineRule="auto"/>
        <w:ind w:left="0" w:right="0"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No que diz respeito ao mérito da proposta, s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empre importante 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destacar; 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ressaltar; frisar; 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reforçar; a importância de 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que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 todos estabelecimentos, 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tanto 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da iniciativa privada 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quanto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 pública, precisam direcionar seus esforços, de modo permanente, em se tornarem cada vais mais adequados a parâmetros aceitáveis de acessibilidade. </w:t>
      </w:r>
    </w:p>
    <w:p>
      <w:pPr>
        <w:shd w:val="clear" w:color="auto" w:fill="FFFFFF"/>
        <w:spacing w:before="240" w:after="240" w:line="240" w:lineRule="auto"/>
        <w:ind w:left="0" w:right="0"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Por vezes, a municipalidade cobra de outrem a obrigação de adequação de suas estruturas física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s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, entretanto, por diversos fatores, não consegue manter toda estrutura pública no mesmo patamar. Desta forma, entendemos que mesmo que ainda “engatinhando” 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em tornar os logradouros públicos acessíveis,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 a iniciativa em tela </w:t>
      </w: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já contribuirá positivamente para população que possui dificuldade de locomoção, possibilitando que possuam uma vida mais autônoma.</w:t>
      </w:r>
    </w:p>
    <w:p>
      <w:pPr>
        <w:shd w:val="clear" w:color="auto" w:fill="FFFFFF"/>
        <w:spacing w:before="240" w:after="240" w:line="24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Arial" w:hAnsi="Calibri" w:cs="Arial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ab/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Diante de todo exposto, considerando a legalidade do Projeto, demonstrando a origem dos valores a serem suplementados e a destinação dos recursos, sendo de grande relevância para a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melhoria dos logradouros públicos, tornando-os mais acessíveis a todos munícipes na igualdade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, não se verifica óbices para continuidade da proposta.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Esta relatoria não possui emendas a propor. 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IV. Decisão da Relatora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P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ortanto, esta Relatoria considera que a presente propositura não apresenta vícios de constitucionalidade, recebendo parecer FAVORÁVEL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Sala das Comissões, em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22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 de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março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 de 2022.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color w:val="000000"/>
          <w:sz w:val="26"/>
          <w:szCs w:val="26"/>
          <w:u w:val="single"/>
          <w:shd w:val="clear" w:color="auto" w:fill="auto"/>
        </w:rPr>
      </w:pPr>
    </w:p>
    <w:p>
      <w:pPr>
        <w:pStyle w:val="BodyText"/>
        <w:bidi w:val="0"/>
        <w:spacing w:before="238" w:after="0" w:line="240" w:lineRule="auto"/>
        <w:contextualSpacing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38" w:after="0" w:line="240" w:lineRule="auto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Vereadora Mara Cristina Choquetta</w:t>
      </w:r>
    </w:p>
    <w:p>
      <w:pPr>
        <w:pStyle w:val="BodyText"/>
        <w:bidi w:val="0"/>
        <w:spacing w:before="238" w:after="0" w:line="240" w:lineRule="auto"/>
        <w:contextualSpacing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Relatora 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PARECER CONJUNTO N.º        /2023 DAS COMISSÕES DE JUSTIÇA E REDAÇÃO; DE EDUCAÇÃO, SAÚDE, CULTURA, ESPORTE E ASSISTÊNCIA SOCIAL; DE OBRAS, SERVIÇOS PÚBLICOS E ATIVIDADES PRIVADAS E DE FINANÇAS E ORÇAMENTO.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Seguindo o Voto exarado pela Relatora e conforme determinam os artigos 35, 37, 38 e 39 da Resolução n.º 276 de 09 de novembro de 2.010, a Comissão de Justiça e Redação conjuntamente com as Comissões de Educação, Saúde, Cultura, Esporte e Assistência Social, de Obras, Serviços Públicos e Atividades Privadas e de Finanças e Orçamento, formalizam o presente 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PARECER FAVORÁVEL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Sala das Comissões, em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22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 de março de 2023.</w:t>
      </w:r>
    </w:p>
    <w:p>
      <w:pPr>
        <w:pStyle w:val="BodyText"/>
        <w:spacing w:line="24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 MARCOS PAULO CEGATTI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Presidente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 JOÃO VICTOR GASPARINI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Vice-presidente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 MARCIO EVANDRO RIBEIRO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 xml:space="preserve">Membro 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OBRAS, SERVIÇOS PÚBLICOS E ATIVIDADES PRIVADAS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 ORIVALDO APARECIDO MAGALHÃES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Presidente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VEREADORA MARA CRISTINA CHOQUETTA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Vice-Presidente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VEREADORA ADEMIR SOUZA FLORETTI JUNIOR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Membro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singl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EDUCAÇÃO, SAÚDE, CULTURA, ESPORTES E ASSISTÊNCIA SOCIAL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VEREADORA LUZIA CRISTINA CORTES NOGUEIRA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Presidente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VEREADORA DR. LÚCIA MARIA FERREIRA TENÓRIO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Vice-presidente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VEREADORA JOELMA FRANCO DA CUNHA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Membro</w:t>
      </w: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FINANÇAS E ORÇAMENTO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 JOÃO VICTOR GASPARINI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 xml:space="preserve">Presidente 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VEREADORA MARA CRISTINA CHOQUETTA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Vice-Presidente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  <w:u w:val="none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none"/>
          <w:shd w:val="clear" w:color="auto" w:fill="FFFFFF"/>
        </w:rPr>
        <w:t>VEREADORA LUZIA CRISTINA CORTES NOGUEIRA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1"/>
    <w:family w:val="swiss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>
      <w:rPr>
        <w:rFonts w:ascii="Bookman Old Style" w:hAnsi="Bookman Old Style"/>
        <w:b/>
        <w:sz w:val="18"/>
      </w:rPr>
      <w:t>6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0103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16760</TotalTime>
  <Pages>6</Pages>
  <Words>1048</Words>
  <Characters>6005</Characters>
  <Application>Microsoft Office Word</Application>
  <DocSecurity>0</DocSecurity>
  <Lines>0</Lines>
  <Paragraphs>67</Paragraphs>
  <ScaleCrop>false</ScaleCrop>
  <Company>Camara Municipal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151</cp:revision>
  <cp:lastPrinted>2022-12-06T15:56:21Z</cp:lastPrinted>
  <dcterms:created xsi:type="dcterms:W3CDTF">2022-02-17T15:51:00Z</dcterms:created>
  <dcterms:modified xsi:type="dcterms:W3CDTF">2023-03-22T16:38:42Z</dcterms:modified>
  <dc:language>pt-BR</dc:language>
</cp:coreProperties>
</file>