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BE19" w14:textId="77777777" w:rsidR="00B970EC" w:rsidRDefault="00B970EC" w:rsidP="00B970EC">
      <w:pPr>
        <w:pStyle w:val="TextosemFormatao"/>
        <w:jc w:val="both"/>
        <w:rPr>
          <w:rFonts w:ascii="Times New Roman" w:eastAsia="MS Mincho" w:hAnsi="Times New Roman"/>
          <w:b/>
          <w:sz w:val="22"/>
          <w:szCs w:val="22"/>
        </w:rPr>
      </w:pPr>
      <w:r>
        <w:rPr>
          <w:rFonts w:ascii="Times New Roman" w:eastAsia="MS Mincho" w:hAnsi="Times New Roman"/>
          <w:b/>
          <w:sz w:val="22"/>
          <w:szCs w:val="22"/>
        </w:rPr>
        <w:t>MENSAGEM Nº 037/23</w:t>
      </w:r>
    </w:p>
    <w:p w14:paraId="3DA8E194" w14:textId="77777777" w:rsidR="00B970EC" w:rsidRDefault="00B970EC" w:rsidP="00B970EC">
      <w:pPr>
        <w:pStyle w:val="TextosemFormatao"/>
        <w:jc w:val="both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[Proc. Adm. nº 13032/2021]</w:t>
      </w:r>
    </w:p>
    <w:p w14:paraId="1F416FA2" w14:textId="77777777" w:rsidR="00B970EC" w:rsidRDefault="00B970EC" w:rsidP="00B970EC">
      <w:pPr>
        <w:pStyle w:val="TextosemFormatao"/>
        <w:jc w:val="both"/>
        <w:rPr>
          <w:rFonts w:ascii="Times New Roman" w:eastAsia="MS Mincho" w:hAnsi="Times New Roman"/>
          <w:sz w:val="22"/>
          <w:szCs w:val="22"/>
        </w:rPr>
      </w:pPr>
    </w:p>
    <w:p w14:paraId="766C11CD" w14:textId="77777777" w:rsidR="00B970EC" w:rsidRDefault="00B970EC" w:rsidP="00B970E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2"/>
          <w:szCs w:val="22"/>
        </w:rPr>
      </w:pPr>
    </w:p>
    <w:p w14:paraId="2AF3E1B5" w14:textId="77777777" w:rsidR="00B970EC" w:rsidRDefault="00B970EC" w:rsidP="00B970E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2"/>
          <w:szCs w:val="22"/>
        </w:rPr>
      </w:pPr>
    </w:p>
    <w:p w14:paraId="69269685" w14:textId="77777777" w:rsidR="00B970EC" w:rsidRDefault="00B970EC" w:rsidP="00B970EC">
      <w:pPr>
        <w:pStyle w:val="TextosemFormatao"/>
        <w:rPr>
          <w:rFonts w:ascii="Times New Roman" w:eastAsia="MS Mincho" w:hAnsi="Times New Roman"/>
          <w:bCs/>
          <w:sz w:val="22"/>
          <w:szCs w:val="22"/>
        </w:rPr>
      </w:pPr>
      <w:r>
        <w:rPr>
          <w:rFonts w:ascii="Times New Roman" w:eastAsia="MS Mincho" w:hAnsi="Times New Roman"/>
          <w:bCs/>
          <w:sz w:val="22"/>
          <w:szCs w:val="22"/>
        </w:rPr>
        <w:t>Ao Excelentíssimo Senhor</w:t>
      </w:r>
    </w:p>
    <w:p w14:paraId="08696E3F" w14:textId="77777777" w:rsidR="00B970EC" w:rsidRDefault="00B970EC" w:rsidP="00B970EC">
      <w:pPr>
        <w:pStyle w:val="TextosemFormatao"/>
        <w:rPr>
          <w:rFonts w:ascii="Times New Roman" w:eastAsia="MS Mincho" w:hAnsi="Times New Roman"/>
          <w:b/>
          <w:sz w:val="22"/>
          <w:szCs w:val="22"/>
        </w:rPr>
      </w:pPr>
      <w:r>
        <w:rPr>
          <w:rFonts w:ascii="Times New Roman" w:eastAsia="MS Mincho" w:hAnsi="Times New Roman"/>
          <w:b/>
          <w:sz w:val="22"/>
          <w:szCs w:val="22"/>
        </w:rPr>
        <w:t>Vereador DIRCEU DA SILVA PAULINO</w:t>
      </w:r>
    </w:p>
    <w:p w14:paraId="4FB71903" w14:textId="77777777" w:rsidR="00B970EC" w:rsidRDefault="00B970EC" w:rsidP="00B970EC">
      <w:pPr>
        <w:pStyle w:val="TextosemFormatao"/>
        <w:rPr>
          <w:rFonts w:ascii="Times New Roman" w:eastAsia="MS Mincho" w:hAnsi="Times New Roman"/>
          <w:bCs/>
          <w:sz w:val="22"/>
          <w:szCs w:val="22"/>
        </w:rPr>
      </w:pPr>
      <w:r>
        <w:rPr>
          <w:rFonts w:ascii="Times New Roman" w:eastAsia="MS Mincho" w:hAnsi="Times New Roman"/>
          <w:bCs/>
          <w:sz w:val="22"/>
          <w:szCs w:val="22"/>
        </w:rPr>
        <w:t>Presidente da Câmara Municipal</w:t>
      </w:r>
    </w:p>
    <w:p w14:paraId="3E4775C9" w14:textId="77777777" w:rsidR="00B970EC" w:rsidRDefault="00B970EC" w:rsidP="00B970EC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2"/>
          <w:szCs w:val="22"/>
        </w:rPr>
      </w:pPr>
    </w:p>
    <w:p w14:paraId="567E76DC" w14:textId="77777777" w:rsidR="00B970EC" w:rsidRDefault="00B970EC" w:rsidP="00B970EC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2"/>
          <w:szCs w:val="22"/>
        </w:rPr>
      </w:pPr>
    </w:p>
    <w:p w14:paraId="4CA2C3C4" w14:textId="77777777" w:rsidR="00B970EC" w:rsidRDefault="00B970EC" w:rsidP="00B970EC">
      <w:pPr>
        <w:pStyle w:val="TextosemFormatao"/>
        <w:rPr>
          <w:rFonts w:ascii="Times New Roman" w:eastAsia="MS Mincho" w:hAnsi="Times New Roman"/>
          <w:bCs/>
          <w:sz w:val="22"/>
          <w:szCs w:val="22"/>
        </w:rPr>
      </w:pPr>
      <w:r>
        <w:rPr>
          <w:rFonts w:ascii="Times New Roman" w:eastAsia="MS Mincho" w:hAnsi="Times New Roman"/>
          <w:bCs/>
          <w:sz w:val="22"/>
          <w:szCs w:val="22"/>
        </w:rPr>
        <w:t>Senhor Presidente;</w:t>
      </w:r>
    </w:p>
    <w:p w14:paraId="1B3D1AFC" w14:textId="77777777" w:rsidR="00B970EC" w:rsidRDefault="00B970EC" w:rsidP="00B970EC">
      <w:pPr>
        <w:ind w:firstLine="3780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14:paraId="1240F4CA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</w:p>
    <w:p w14:paraId="60FBA88C" w14:textId="77777777" w:rsidR="00B970EC" w:rsidRDefault="00B970EC" w:rsidP="00B970EC">
      <w:pPr>
        <w:ind w:firstLine="3780"/>
        <w:jc w:val="both"/>
        <w:rPr>
          <w:b/>
          <w:lang w:eastAsia="pt-BR"/>
        </w:rPr>
      </w:pPr>
      <w:r>
        <w:rPr>
          <w:color w:val="000000"/>
          <w:lang w:eastAsia="ar-SA"/>
        </w:rPr>
        <w:t>Pela Lei Municipal nº 6.593, de 9 de março de 2023</w:t>
      </w:r>
      <w:r>
        <w:t>, o Conselho Tutelar de Mogi Mirim foi reestruturado, objetivando a atualização de suas normativas para atender as Resoluções do CONANDA.</w:t>
      </w:r>
    </w:p>
    <w:p w14:paraId="317DE16C" w14:textId="77777777" w:rsidR="00B970EC" w:rsidRDefault="00B970EC" w:rsidP="00B970EC">
      <w:pPr>
        <w:ind w:firstLine="3780"/>
        <w:jc w:val="both"/>
      </w:pPr>
    </w:p>
    <w:p w14:paraId="453DA88D" w14:textId="77777777" w:rsidR="00B970EC" w:rsidRDefault="00B970EC" w:rsidP="00B970EC">
      <w:pPr>
        <w:ind w:firstLine="382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No entanto, após a promulgação da Lei e reestruturadas as diretrizes legais do aludo Conselho, verificou-se a necessidade de alterar a redação do art. 58 da Lei em comento, especificamente no que concerne a desincompatibilização dos atuais Conselheiros Tutelares nas próximas eleições, em atendimento à orientação do Ministério Público do Estado de São Paulo.</w:t>
      </w:r>
    </w:p>
    <w:p w14:paraId="69780B87" w14:textId="77777777" w:rsidR="00B970EC" w:rsidRDefault="00B970EC" w:rsidP="00B970EC">
      <w:pPr>
        <w:ind w:firstLine="3828"/>
        <w:jc w:val="both"/>
        <w:rPr>
          <w:color w:val="000000"/>
          <w:lang w:eastAsia="ar-SA"/>
        </w:rPr>
      </w:pPr>
    </w:p>
    <w:p w14:paraId="3D5F1FDF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A recomendação dada por aquele órgão, em sua cartilha aos Municípios, foi a de que não há necessidade de que os atuais Conselheiros Tutelares, que foram participar de novo processo eleitoral, se desincompatibilizem de suas funções junto ao segmento.</w:t>
      </w:r>
    </w:p>
    <w:p w14:paraId="05568216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</w:p>
    <w:p w14:paraId="62C931D3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Dito isto, a alteração aqui proposta visa evitar-se que haja um período eleitoral sem atuação funcional dos Conselheiros que forem candidatos a reeleição junto ao Conselho Tutelar, devida a desincompatibilização prevista na Lei atual, sem possibilidade de substituição por suplentes.</w:t>
      </w:r>
    </w:p>
    <w:p w14:paraId="5B894F75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</w:p>
    <w:p w14:paraId="3DBA133F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Porém, no que tange aos membros do Conselho Municipal dos Direitos da Criança e do Adolescente que se submeterem à eleição, estes deverão se afastar de suas funções quando de sua inscrição como candidato, assumindo, neste caso, como titular, o respectivo suplente. Não sendo eleito Conselheiro Tutelar, deverá retornar à sua posição de membro titular do CMDCA. </w:t>
      </w:r>
    </w:p>
    <w:p w14:paraId="26812643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</w:p>
    <w:p w14:paraId="43A5B207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Vale salientar que o Conselho Municipal dos Direitos da Criança e do Adolescente, em reunião ordinária, deliberou favoravelmente sobre a alteração aqui proposta.</w:t>
      </w:r>
    </w:p>
    <w:p w14:paraId="46ABA0A4" w14:textId="77777777" w:rsidR="00B970EC" w:rsidRDefault="00B970EC" w:rsidP="00B970EC">
      <w:pPr>
        <w:ind w:firstLine="37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</w:t>
      </w:r>
    </w:p>
    <w:p w14:paraId="413E9536" w14:textId="77777777" w:rsidR="00B970EC" w:rsidRDefault="00B970EC" w:rsidP="00B970EC">
      <w:pPr>
        <w:pStyle w:val="TextosemFormatao"/>
        <w:ind w:firstLine="378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 de praxe.</w:t>
      </w:r>
    </w:p>
    <w:p w14:paraId="18EF0619" w14:textId="77777777" w:rsidR="00B970EC" w:rsidRDefault="00B970EC" w:rsidP="00B970EC">
      <w:pPr>
        <w:pStyle w:val="TextosemFormatao"/>
        <w:ind w:firstLine="3780"/>
        <w:jc w:val="both"/>
        <w:rPr>
          <w:rFonts w:ascii="Times New Roman" w:hAnsi="Times New Roman"/>
          <w:sz w:val="22"/>
          <w:szCs w:val="22"/>
        </w:rPr>
      </w:pPr>
    </w:p>
    <w:p w14:paraId="24C99984" w14:textId="77777777" w:rsidR="00B970EC" w:rsidRDefault="00B970EC" w:rsidP="00B970EC">
      <w:pPr>
        <w:jc w:val="center"/>
        <w:rPr>
          <w:rFonts w:ascii="Times New Roman" w:hAnsi="Times New Roman"/>
          <w:bCs/>
          <w:lang w:val="es-ES_tradnl"/>
        </w:rPr>
      </w:pPr>
      <w:r>
        <w:rPr>
          <w:bCs/>
          <w:lang w:val="es-ES_tradnl"/>
        </w:rPr>
        <w:t>Respeitosamente,</w:t>
      </w:r>
    </w:p>
    <w:p w14:paraId="1ADAD7C3" w14:textId="77777777" w:rsidR="00B970EC" w:rsidRDefault="00B970EC" w:rsidP="00B970EC">
      <w:pPr>
        <w:pStyle w:val="Ttulo1"/>
        <w:ind w:left="283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DR. PAULO DE OLIVEIRA E SILVA</w:t>
      </w:r>
    </w:p>
    <w:p w14:paraId="4D3E1079" w14:textId="07C929FB" w:rsidR="002C0D83" w:rsidRDefault="00B970EC" w:rsidP="00B219B4">
      <w:pPr>
        <w:ind w:left="2880" w:firstLine="720"/>
        <w:rPr>
          <w:rFonts w:ascii="Times New Roman" w:eastAsia="MS Mincho" w:hAnsi="Times New Roman" w:cs="Times New Roman"/>
          <w:b/>
        </w:rPr>
      </w:pPr>
      <w:r>
        <w:t>Prefeito Municipal</w:t>
      </w:r>
    </w:p>
    <w:p w14:paraId="610AC72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121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219B4"/>
    <w:rsid w:val="00B970EC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7F6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B970EC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970E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2023-06-05T13:00:00Z</dcterms:modified>
</cp:coreProperties>
</file>