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PROJETO DE DECRETO LEGISLATIVO N°      DE 2023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0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DISPÕE SOBRE A APROVAÇÃO DAS CONTAS DA PREFEITURA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MUNICIPAL DE MOGI MIRIM (GESTÃO ARQUITETO CARLOS NELSON BUENO), REFERENTE AO EXERCÍCIO DE 2020.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firstLine="72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FAÇO SABER que a Câmara Municipal aprovou e eu promulgo o seguinte Decreto Legislativo: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firstLine="720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Art. 1°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FICAM APROVADAS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as contas da Prefeitura Municipal de Mogi Mirim, Exercício 2020, gestão Arquiteto Carlos Nelson Bueno,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em concordância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com 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PARECER PRÉVIO FAVORÁVEL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emitido pelo Egrégio Tribunal de Contas Do Estado de São Paulo, nos autos do processo TC- </w:t>
      </w: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003234.989.20-0.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720" w:firstLine="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Art. 2°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Este Decreto Legislativo entra em vigor na data de sua publicação.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Sala das Sessões Vereador Santo Rottolli, em 26 de junho de 2023.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COMISSÃO DE FINANÇAS E ORÇAMENTO</w:t>
        <w:br w:type="textWrapping"/>
      </w:r>
    </w:p>
    <w:p w:rsidR="00000000" w:rsidDel="00000000" w:rsidP="00000000" w:rsidRDefault="00000000" w:rsidRPr="00000000" w14:paraId="0000000A">
      <w:pPr>
        <w:spacing w:before="240" w:line="276" w:lineRule="auto"/>
        <w:jc w:val="left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 JOÃO VICTOR GASPARINI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VEREADORA MARA CRISTINA CHOQUETTA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- Presidente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VEREADORA LUZIA CRISTINA CORTES NOGUEIRA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Membro</w:t>
      </w:r>
    </w:p>
    <w:p w:rsidR="00000000" w:rsidDel="00000000" w:rsidP="00000000" w:rsidRDefault="00000000" w:rsidRPr="00000000" w14:paraId="00000018">
      <w:pPr>
        <w:spacing w:before="240" w:line="326.4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134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Bookman Old Style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b="0" l="0" r="0" t="0"/>
          <wp:wrapNone/>
          <wp:docPr descr="bandeira-cores-novas-png" id="5" name="image1.png"/>
          <a:graphic>
            <a:graphicData uri="http://schemas.openxmlformats.org/drawingml/2006/picture">
              <pic:pic>
                <pic:nvPicPr>
                  <pic:cNvPr descr="bandeira-cores-novas-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38620" y="370728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b="0" l="0" r="0" t="0"/>
              <wp:wrapSquare wrapText="bothSides" distB="0" distT="0" distL="0" distR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8620" y="377262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b="0" l="0" r="0" t="0"/>
          <wp:wrapNone/>
          <wp:docPr descr="bandeira-cores-novas-png" id="4" name="image1.png"/>
          <a:graphic>
            <a:graphicData uri="http://schemas.openxmlformats.org/drawingml/2006/picture">
              <pic:pic>
                <pic:nvPicPr>
                  <pic:cNvPr descr="bandeira-cores-novas-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20" y="370728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Comissão de Justiça e Redação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