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50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3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b/>
          <w:sz w:val="26"/>
          <w:szCs w:val="26"/>
          <w:rtl w:val="0"/>
        </w:rPr>
        <w:t>65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3</w:t>
      </w:r>
    </w:p>
    <w:p w:rsidR="00000000" w:rsidRPr="00000000" w:rsidP="00000000" w14:paraId="00000005">
      <w:pPr>
        <w:spacing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Autor: Vereador Geraldo Vicente Bertanha</w:t>
      </w:r>
    </w:p>
    <w:p w:rsidR="00000000" w:rsidRPr="00000000" w:rsidP="00000000" w14:paraId="00000006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sz w:val="26"/>
          <w:szCs w:val="26"/>
        </w:rPr>
      </w:pPr>
    </w:p>
    <w:p w:rsidR="00000000" w:rsidRPr="00000000" w:rsidP="00000000" w14:paraId="00000009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De iniciativa do Vereador Geraldo Vicente Bertanha</w:t>
      </w:r>
      <w:r w:rsidRPr="00000000">
        <w:rPr>
          <w:b/>
          <w:sz w:val="26"/>
          <w:szCs w:val="26"/>
          <w:rtl w:val="0"/>
        </w:rPr>
        <w:t xml:space="preserve"> </w:t>
      </w:r>
      <w:r w:rsidRPr="00000000">
        <w:rPr>
          <w:sz w:val="26"/>
          <w:szCs w:val="26"/>
          <w:rtl w:val="0"/>
        </w:rPr>
        <w:t xml:space="preserve">o Projeto de Lei n° 50 de 2023 dispõe sobre a </w:t>
      </w:r>
      <w:r w:rsidRPr="00000000">
        <w:rPr>
          <w:b/>
          <w:sz w:val="26"/>
          <w:szCs w:val="26"/>
          <w:rtl w:val="0"/>
        </w:rPr>
        <w:t xml:space="preserve">“Instituição do Programa ‘Câmera Cidadã’ com apoio de moradores, residências, empresas, condomínios, comércios e outros, no Município de Mogi MIrim, e dá outras providências”. </w:t>
      </w:r>
    </w:p>
    <w:p w:rsidR="00000000" w:rsidRPr="00000000" w:rsidP="00000000" w14:paraId="0000000A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 propositura em análise visa criar um programa com o objetivo de fortalecer o combate ao crime e estimular maior confiança da comunidade, por meio de uma parceria entre os proprietários de câmeras de segurança em suas casas e comércios, possibilitando o auxílio ao Poder Público para obter informações para a elaboração de estudos visando ações preventivas contra o crime.</w:t>
      </w:r>
    </w:p>
    <w:p w:rsidR="00000000" w:rsidRPr="00000000" w:rsidP="00000000" w14:paraId="0000000B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De acordo com a justificativa do Projeto de Lei, a participação da comunidade nos processos e estratégias de segurança pública municipal, poderá possibilitar que os moradores conheçam e participem mais ativamente para a segurança de todos. Dessa forma, a Propositura visa incentivar a sociedade a colaborar com as instituições policiais e com o poder público buscando a cooperação para reduzir os indicadores de criminalidade no Município. </w:t>
      </w:r>
    </w:p>
    <w:p w:rsidR="00000000" w:rsidRPr="00000000" w:rsidP="00000000" w14:paraId="0000000C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Inicialmente, cumpre destacar que a Comissão de Justiça e Redação requereu parecer da SGP - Soluções em Gestão Pública - para avaliação do Projeto de Lei ora analisado, através da CONSULTA/0238/2023/JG/G de 24 de maio de 2023, com apontamentos sobre a constitucionalidade e legalidade da Propositura, dos quais discorreremos neste relatório.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Trata-se de assunto que se enquadra nas competências legislativas do Município, conforme determina o artigo 30, inciso I da Constituição Federal, no que se refere em legislar sobre assuntos de interesse local. Do mesmo modo, a Constituição garante aos Municípios brasileiros o poder de exercitar plenamente a competência legislativa de suplementar as legislações estadual e federal, naquilo que for cabível e disser respeito ao interesse local (inc. II do art. 30 da CF). Neste aspecto, este relator concorda com as colocações do mencionado parecer da SGP.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Entretanto, o parecer da SGP apontou uma possível invasão no “postulado constitucional na reserva de Administração”, que segundo o jurista José Joaquim Gomes Canotilho: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160" w:right="0" w:firstLine="0"/>
        <w:jc w:val="both"/>
        <w:rPr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“Por reserva de administração entende-se um núcleo funcional da administração ‘resistente’ à lei, ou seja, um domínio reservado à administração contra as ingerências do parlamento”</w:t>
      </w:r>
      <w:r w:rsidRPr="00000000">
        <w:rPr>
          <w:sz w:val="26"/>
          <w:szCs w:val="26"/>
          <w:rtl w:val="0"/>
        </w:rPr>
        <w:t>. (cf. in Direito Constitucional e Teoria da Constituição, 7° ed., Almedina, Coimbra, 2003, p. 739).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160" w:right="0" w:firstLine="0"/>
        <w:jc w:val="both"/>
        <w:rPr>
          <w:sz w:val="26"/>
          <w:szCs w:val="26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Ocorre que alguns artigos do Projeto de Lei n° 50 de 2023 dispõem sobre assuntos que a Constituição Federal e Estadual, assim como a Lei Orgânica do Município reservam ao Poder Executivo, como o caso do Parágrafo Unico do artigo 1°, que dá a atribuição à Secretaria de Segurança Pública de cadastrar e realizar a cooperação da matéria que trata a propositura. 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Neste mesmo sentido, o parágrafo único do artigo 6° e a integralidade do artigo 7° da Propositura, ao nosso ver, invadem a esfera privativa do Poder Executivo, pois além de darem atribuições à Secretaria de Segurança Pública, dispõem sobre a administração da mesma. Estes dispositivos vão de encontro ao inciso III do artigo 51 da Lei Orgânica de Mogi Mirim, que delega as atribuições privativas ao Chefe do Executivo Municipal: 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160" w:right="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 xml:space="preserve">“Art. 51. São de iniciativa exclusiva do Prefeito as leis que disponham sobre: 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160" w:right="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[...]</w:t>
      </w: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160" w:right="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III – criação, estruturação e atribuições das Secretarias Municipais ou Departamentos equivalentes a órgãos da Administração;”</w:t>
      </w:r>
    </w:p>
    <w:p w:rsidR="00000000" w:rsidRPr="00000000" w:rsidP="00000000" w14:paraId="0000001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160" w:right="0" w:firstLine="720"/>
        <w:jc w:val="both"/>
        <w:rPr>
          <w:i/>
          <w:sz w:val="26"/>
          <w:szCs w:val="26"/>
        </w:rPr>
      </w:pPr>
    </w:p>
    <w:p w:rsidR="00000000" w:rsidRPr="00000000" w:rsidP="00000000" w14:paraId="0000001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Sendo assim, considerando que estes dispositivos poderiam, em tese, ser objetos de Ações de Inconstitucionalidade, entramos em contato com o autor da propositura, para que pudesse verificar a possibilidade de elaborar emendas para que o Projeto pudesse seguir a sua regular tramitação. </w:t>
      </w:r>
    </w:p>
    <w:p w:rsidR="00000000" w:rsidRPr="00000000" w:rsidP="00000000" w14:paraId="0000001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Dessa forma, o autor concordou em fazer duas emendas supressivas, retirando o parágrafo único do artigo 6° e o artigo 7°, e duas emendas modificativas que alteram alguns termos da redação do projeto que possibilitam a não invasão na seara administrativa dos Poderes Constituídos no Município.</w:t>
      </w:r>
    </w:p>
    <w:p w:rsidR="00000000" w:rsidRPr="00000000" w:rsidP="00000000" w14:paraId="0000001B">
      <w:pPr>
        <w:spacing w:before="300" w:after="300"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Em relação ao aspecto gramatical e lógico, verifica-se que houve respeito às regras ortográficas e técnica legislativa, não havendo apontamentos neste sentido. </w:t>
      </w:r>
    </w:p>
    <w:p w:rsidR="00000000" w:rsidRPr="00000000" w:rsidP="00000000" w14:paraId="0000001C">
      <w:pPr>
        <w:spacing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Assim sendo, não identificamos demais irregularidades no Projeto de Lei em análise, motivo pelo qual não nos opomos à continuidade da proposta apresentada pelo vereador, considerando as emendas apresentadas.</w:t>
      </w:r>
    </w:p>
    <w:p w:rsidR="00000000" w:rsidRPr="00000000" w:rsidP="00000000" w14:paraId="0000001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spacing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1F">
      <w:pPr>
        <w:spacing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Relator não propõe qualquer alteração ao Projeto de Lei sob análise. </w:t>
      </w:r>
    </w:p>
    <w:p w:rsidR="00000000" w:rsidRPr="00000000" w:rsidP="00000000" w14:paraId="00000020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21">
      <w:pPr>
        <w:spacing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2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diante do exposto, esta relatoria considera que a presente propositura apresenta vícios de constitucionalidade, recebendo assim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23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24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25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2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b/>
          <w:sz w:val="26"/>
          <w:szCs w:val="26"/>
        </w:rPr>
      </w:pPr>
    </w:p>
    <w:p w:rsidR="00000000" w:rsidRPr="00000000" w:rsidP="00000000" w14:paraId="0000002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2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residente /relator</w:t>
      </w:r>
    </w:p>
    <w:p w:rsidR="00000000" w:rsidRPr="00000000" w:rsidP="00000000" w14:paraId="00000029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2A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2B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2C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2D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2E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2F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0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1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2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3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4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5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6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7">
      <w:pPr>
        <w:spacing w:line="276" w:lineRule="auto"/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rtl w:val="0"/>
        </w:rPr>
        <w:t>PARECER DA COMISSÃO DE JUSTIÇA E REDAÇÃO</w:t>
      </w:r>
      <w:r w:rsidRPr="00000000">
        <w:rPr>
          <w:b/>
          <w:sz w:val="26"/>
          <w:szCs w:val="26"/>
          <w:rtl w:val="0"/>
        </w:rPr>
        <w:t xml:space="preserve"> AO PROJETO DE LEI N° 50 DE 2023.</w:t>
      </w:r>
    </w:p>
    <w:p w:rsidR="00000000" w:rsidRPr="00000000" w:rsidP="00000000" w14:paraId="00000038">
      <w:pPr>
        <w:spacing w:after="240" w:line="276" w:lineRule="auto"/>
        <w:rPr>
          <w:sz w:val="26"/>
          <w:szCs w:val="26"/>
        </w:rPr>
      </w:pPr>
    </w:p>
    <w:p w:rsidR="00000000" w:rsidRPr="00000000" w:rsidP="00000000" w14:paraId="00000039">
      <w:pPr>
        <w:spacing w:line="276" w:lineRule="auto"/>
        <w:ind w:firstLine="720"/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>Seguindo o Voto exarado pelo Relator e conforme determina o artigo 35</w:t>
      </w:r>
      <w:r w:rsidRPr="00000000">
        <w:rPr>
          <w:sz w:val="26"/>
          <w:szCs w:val="26"/>
          <w:rtl w:val="0"/>
        </w:rPr>
        <w:t xml:space="preserve"> da Resolução n°  276 de 09 de novembro de 2010, Regimento Interno da Câmara Municipal de Mogi Mirim, a Comissão Permanente de Justiça e Redação, emite </w:t>
      </w:r>
      <w:r w:rsidRPr="00000000">
        <w:rPr>
          <w:color w:val="000000"/>
          <w:sz w:val="26"/>
          <w:szCs w:val="26"/>
          <w:rtl w:val="0"/>
        </w:rPr>
        <w:t xml:space="preserve">o presente </w:t>
      </w:r>
      <w:r w:rsidRPr="00000000">
        <w:rPr>
          <w:b/>
          <w:color w:val="000000"/>
          <w:sz w:val="26"/>
          <w:szCs w:val="26"/>
          <w:rtl w:val="0"/>
        </w:rPr>
        <w:t xml:space="preserve">PARECER FAVORÁVEL </w:t>
      </w:r>
      <w:r w:rsidRPr="00000000">
        <w:rPr>
          <w:color w:val="000000"/>
          <w:sz w:val="26"/>
          <w:szCs w:val="26"/>
          <w:rtl w:val="0"/>
        </w:rPr>
        <w:t xml:space="preserve">ao Projeto de Lei </w:t>
      </w:r>
      <w:r w:rsidRPr="00000000">
        <w:rPr>
          <w:sz w:val="26"/>
          <w:szCs w:val="26"/>
          <w:rtl w:val="0"/>
        </w:rPr>
        <w:t>n° 50 de 2023</w:t>
      </w:r>
      <w:r w:rsidRPr="00000000">
        <w:rPr>
          <w:color w:val="000000"/>
          <w:sz w:val="26"/>
          <w:szCs w:val="26"/>
          <w:rtl w:val="0"/>
        </w:rPr>
        <w:t>.</w:t>
      </w:r>
    </w:p>
    <w:p w:rsidR="00000000" w:rsidRPr="00000000" w:rsidP="00000000" w14:paraId="0000003A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3B">
      <w:pPr>
        <w:spacing w:line="276" w:lineRule="auto"/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sz w:val="26"/>
          <w:szCs w:val="26"/>
          <w:highlight w:val="white"/>
          <w:rtl w:val="0"/>
        </w:rPr>
        <w:t xml:space="preserve">06 </w:t>
      </w:r>
      <w:r w:rsidRPr="00000000">
        <w:rPr>
          <w:color w:val="000000"/>
          <w:sz w:val="26"/>
          <w:szCs w:val="26"/>
          <w:highlight w:val="white"/>
          <w:rtl w:val="0"/>
        </w:rPr>
        <w:t>de</w:t>
      </w:r>
      <w:r w:rsidRPr="00000000">
        <w:rPr>
          <w:sz w:val="26"/>
          <w:szCs w:val="26"/>
          <w:highlight w:val="white"/>
          <w:rtl w:val="0"/>
        </w:rPr>
        <w:t xml:space="preserve"> julho </w:t>
      </w:r>
      <w:r w:rsidRPr="00000000">
        <w:rPr>
          <w:color w:val="000000"/>
          <w:sz w:val="26"/>
          <w:szCs w:val="26"/>
          <w:highlight w:val="white"/>
          <w:rtl w:val="0"/>
        </w:rPr>
        <w:t>de 202</w:t>
      </w:r>
      <w:r w:rsidRPr="00000000">
        <w:rPr>
          <w:sz w:val="26"/>
          <w:szCs w:val="26"/>
          <w:highlight w:val="white"/>
          <w:rtl w:val="0"/>
        </w:rPr>
        <w:t>3</w:t>
      </w:r>
      <w:r w:rsidRPr="00000000">
        <w:rPr>
          <w:color w:val="000000"/>
          <w:sz w:val="26"/>
          <w:szCs w:val="26"/>
          <w:highlight w:val="white"/>
          <w:rtl w:val="0"/>
        </w:rPr>
        <w:t>.</w:t>
      </w:r>
    </w:p>
    <w:p w:rsidR="00000000" w:rsidRPr="00000000" w:rsidP="00000000" w14:paraId="0000003C">
      <w:pPr>
        <w:spacing w:before="240" w:line="288" w:lineRule="auto"/>
        <w:jc w:val="center"/>
        <w:rPr>
          <w:b/>
          <w:sz w:val="26"/>
          <w:szCs w:val="26"/>
        </w:rPr>
      </w:pPr>
    </w:p>
    <w:p w:rsidR="00000000" w:rsidRPr="00000000" w:rsidP="00000000" w14:paraId="0000003D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E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3F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40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41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42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Presidente</w:t>
      </w:r>
    </w:p>
    <w:p w:rsidR="00000000" w:rsidRPr="00000000" w:rsidP="00000000" w14:paraId="00000043">
      <w:pPr>
        <w:spacing w:before="240"/>
        <w:rPr>
          <w:sz w:val="26"/>
          <w:szCs w:val="26"/>
        </w:rPr>
      </w:pPr>
    </w:p>
    <w:p w:rsidR="00000000" w:rsidRPr="00000000" w:rsidP="00000000" w14:paraId="00000044">
      <w:pPr>
        <w:spacing w:before="240"/>
        <w:rPr>
          <w:sz w:val="26"/>
          <w:szCs w:val="26"/>
        </w:rPr>
      </w:pPr>
    </w:p>
    <w:p w:rsidR="00000000" w:rsidRPr="00000000" w:rsidP="00000000" w14:paraId="00000045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46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47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48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49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4A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4B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4C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4D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MARCIO EVANDRO RIBEIRO</w:t>
      </w:r>
    </w:p>
    <w:p w:rsidR="00000000" w:rsidRPr="00000000" w:rsidP="00000000" w14:paraId="0000004E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Membro </w:t>
      </w:r>
    </w:p>
    <w:p w:rsidR="00000000" w:rsidRPr="00000000" w:rsidP="00000000" w14:paraId="0000004F">
      <w:pPr>
        <w:jc w:val="left"/>
        <w:rPr>
          <w:b/>
          <w:sz w:val="26"/>
          <w:szCs w:val="26"/>
          <w:highlight w:val="white"/>
        </w:rPr>
      </w:pPr>
    </w:p>
    <w:p w:rsidR="00000000" w:rsidRPr="00000000" w:rsidP="00000000" w14:paraId="00000050">
      <w:pPr>
        <w:spacing w:before="0" w:after="24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257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5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154262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5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5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right"/>
      <w:rPr>
        <w:i/>
        <w:sz w:val="24"/>
        <w:szCs w:val="24"/>
        <w:u w:val="single"/>
      </w:rPr>
    </w:pPr>
    <w:r w:rsidRPr="00000000">
      <w:rPr>
        <w:i/>
        <w:sz w:val="24"/>
        <w:szCs w:val="24"/>
        <w:u w:val="single"/>
        <w:rtl w:val="0"/>
      </w:rPr>
      <w:t>Parecer ao PL n° 50/2023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