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E11" w:rsidRDefault="00FF7510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Projeto de Decreto Legislativo Nº 4/2023</w:t>
      </w:r>
    </w:p>
    <w:p w:rsidR="00725E11" w:rsidRDefault="00FF7510">
      <w:p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      </w:t>
      </w:r>
    </w:p>
    <w:p w:rsidR="00725E11" w:rsidRDefault="00725E11">
      <w:pPr>
        <w:jc w:val="both"/>
        <w:rPr>
          <w:rFonts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57"/>
      </w:tblGrid>
      <w:tr w:rsidR="00725E11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Default="00FF7510">
            <w:pPr>
              <w:widowControl w:val="0"/>
              <w:jc w:val="center"/>
            </w:pPr>
            <w:r>
              <w:rPr>
                <w:b/>
                <w:bCs/>
              </w:rPr>
              <w:t>EMENTA:</w:t>
            </w:r>
            <w:r>
              <w:t xml:space="preserve"> CONCEDE O TÍTULO DE CIDADÃ MOGIMIRIANA À SENHORA DEPUTADA ESTADUAL </w:t>
            </w:r>
            <w:r>
              <w:rPr>
                <w:sz w:val="80"/>
                <w:szCs w:val="80"/>
              </w:rPr>
              <w:t>LETICIA AGUIAR</w:t>
            </w:r>
          </w:p>
        </w:tc>
      </w:tr>
    </w:tbl>
    <w:p w:rsidR="00725E11" w:rsidRDefault="00725E11">
      <w:pPr>
        <w:spacing w:line="360" w:lineRule="auto"/>
        <w:ind w:firstLine="567"/>
        <w:jc w:val="both"/>
        <w:rPr>
          <w:rFonts w:cs="Arial"/>
          <w:b/>
          <w:bCs/>
          <w:sz w:val="24"/>
          <w:szCs w:val="24"/>
        </w:rPr>
      </w:pPr>
    </w:p>
    <w:p w:rsidR="00725E11" w:rsidRDefault="00725E11">
      <w:pPr>
        <w:spacing w:line="360" w:lineRule="auto"/>
        <w:ind w:firstLine="567"/>
        <w:jc w:val="both"/>
        <w:rPr>
          <w:rFonts w:cs="Arial"/>
          <w:b/>
          <w:bCs/>
          <w:sz w:val="24"/>
          <w:szCs w:val="24"/>
        </w:rPr>
      </w:pPr>
    </w:p>
    <w:p w:rsidR="00725E11" w:rsidRDefault="00FF7510">
      <w:pPr>
        <w:spacing w:line="360" w:lineRule="auto"/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Senhor Presidente,</w:t>
      </w:r>
    </w:p>
    <w:p w:rsidR="00725E11" w:rsidRDefault="00FF7510">
      <w:pPr>
        <w:spacing w:line="360" w:lineRule="auto"/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Senhoras e Senhores Vereadores.</w:t>
      </w:r>
    </w:p>
    <w:p w:rsidR="00725E11" w:rsidRDefault="00725E11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725E11" w:rsidRDefault="00FF751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>Art. 1º Fica conferido o título de “CIDADÃ MOGIMIRIANA” À SENHORA DEPUTADA ESTADUAL LETICIA AGUIAR RE</w:t>
      </w:r>
      <w:r>
        <w:rPr>
          <w:rFonts w:cs="Arial"/>
          <w:sz w:val="24"/>
          <w:szCs w:val="24"/>
        </w:rPr>
        <w:t>SENDE ALVES, com base na Lei Complementar nº 69, de 8 de abril de 1998, art. 1º, § 1º, inciso I.</w:t>
      </w:r>
    </w:p>
    <w:p w:rsidR="00725E11" w:rsidRDefault="00725E1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cs="Arial"/>
        </w:rPr>
      </w:pPr>
    </w:p>
    <w:p w:rsidR="00725E11" w:rsidRDefault="00FF751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>Art. 2º A honraria prevista neste Decreto Legislativo será entregue em Sessão Solene a ser convocada pelo Presidente da Câmara.</w:t>
      </w:r>
    </w:p>
    <w:p w:rsidR="00725E11" w:rsidRDefault="00725E1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cs="Arial"/>
        </w:rPr>
      </w:pPr>
    </w:p>
    <w:p w:rsidR="00725E11" w:rsidRDefault="00FF751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Art. 3º A Mesa da Câmara </w:t>
      </w:r>
      <w:r>
        <w:rPr>
          <w:rFonts w:cs="Arial"/>
          <w:sz w:val="24"/>
          <w:szCs w:val="24"/>
        </w:rPr>
        <w:t>fica autorizada a realizar as despesas decorrentes deste Decreto que correrão à conta do orçamento vigente, suplementado se necessário.</w:t>
      </w:r>
    </w:p>
    <w:p w:rsidR="00725E11" w:rsidRDefault="00725E1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cs="Arial"/>
        </w:rPr>
      </w:pPr>
    </w:p>
    <w:p w:rsidR="00725E11" w:rsidRDefault="00FF751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>Art.  4º Este Decreto Legislativo entra em vigor na data de sua publicação, revogadas as disposições em contrário.</w:t>
      </w:r>
    </w:p>
    <w:p w:rsidR="00725E11" w:rsidRDefault="00725E1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cs="Arial"/>
          <w:sz w:val="24"/>
          <w:szCs w:val="24"/>
        </w:rPr>
      </w:pPr>
    </w:p>
    <w:p w:rsidR="00725E11" w:rsidRDefault="00725E11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725E11" w:rsidRDefault="00FF751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ala das Sessões “Vereador Santo </w:t>
      </w:r>
      <w:proofErr w:type="spellStart"/>
      <w:r>
        <w:rPr>
          <w:rFonts w:cs="Arial"/>
          <w:sz w:val="24"/>
          <w:szCs w:val="24"/>
        </w:rPr>
        <w:t>Rótolli</w:t>
      </w:r>
      <w:proofErr w:type="spellEnd"/>
      <w:r>
        <w:rPr>
          <w:rFonts w:cs="Arial"/>
          <w:sz w:val="24"/>
          <w:szCs w:val="24"/>
        </w:rPr>
        <w:t>”, 24 de julho de 2023.</w:t>
      </w:r>
    </w:p>
    <w:p w:rsidR="00725E11" w:rsidRDefault="00725E11">
      <w:pPr>
        <w:spacing w:line="360" w:lineRule="auto"/>
        <w:jc w:val="both"/>
        <w:rPr>
          <w:rFonts w:cs="Arial"/>
          <w:sz w:val="24"/>
          <w:szCs w:val="24"/>
        </w:rPr>
      </w:pPr>
    </w:p>
    <w:p w:rsidR="00725E11" w:rsidRDefault="00725E11">
      <w:pPr>
        <w:spacing w:line="360" w:lineRule="auto"/>
        <w:jc w:val="both"/>
        <w:rPr>
          <w:sz w:val="24"/>
          <w:szCs w:val="24"/>
        </w:rPr>
      </w:pPr>
    </w:p>
    <w:p w:rsidR="00725E11" w:rsidRDefault="00FF751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JORNALISTA GERALDO VICENTE BERTANHA</w:t>
      </w:r>
    </w:p>
    <w:p w:rsidR="00725E11" w:rsidRDefault="00FF7510">
      <w:pPr>
        <w:spacing w:line="360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VEREADOR DA CÂMARA MUNICIPAL</w:t>
      </w:r>
    </w:p>
    <w:p w:rsidR="00725E11" w:rsidRDefault="00725E11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725E11" w:rsidRDefault="00725E11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725E11" w:rsidRDefault="00725E11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725E11" w:rsidRDefault="00725E1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25E11" w:rsidRDefault="00725E11">
      <w:pPr>
        <w:rPr>
          <w:sz w:val="24"/>
          <w:szCs w:val="24"/>
        </w:rPr>
      </w:pPr>
    </w:p>
    <w:p w:rsidR="00725E11" w:rsidRDefault="00FF7510">
      <w:pPr>
        <w:rPr>
          <w:sz w:val="24"/>
          <w:szCs w:val="24"/>
        </w:rPr>
      </w:pPr>
      <w:r>
        <w:rPr>
          <w:sz w:val="24"/>
          <w:szCs w:val="24"/>
        </w:rPr>
        <w:t>JUSTIFICATIVA</w:t>
      </w:r>
    </w:p>
    <w:p w:rsidR="00725E11" w:rsidRDefault="00725E11">
      <w:pPr>
        <w:rPr>
          <w:sz w:val="24"/>
          <w:szCs w:val="24"/>
        </w:rPr>
      </w:pPr>
    </w:p>
    <w:p w:rsidR="00725E11" w:rsidRDefault="00FF75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Leticia Aguiar Resende Alves, é uma jovem </w:t>
      </w:r>
      <w:proofErr w:type="spellStart"/>
      <w:r>
        <w:rPr>
          <w:sz w:val="24"/>
          <w:szCs w:val="24"/>
        </w:rPr>
        <w:t>Joseense</w:t>
      </w:r>
      <w:proofErr w:type="spellEnd"/>
      <w:r>
        <w:rPr>
          <w:sz w:val="24"/>
          <w:szCs w:val="24"/>
        </w:rPr>
        <w:t xml:space="preserve">, que vem escrevendo uma importante história na </w:t>
      </w:r>
      <w:r>
        <w:rPr>
          <w:sz w:val="24"/>
          <w:szCs w:val="24"/>
        </w:rPr>
        <w:t>política do Estado de São Paulo. Nossa deputada estadual, LETICIA AGUIAR, está no seu 2º mandato, representando muito bem diversas demandas que incluem a população de Mogi Mirim.</w:t>
      </w:r>
    </w:p>
    <w:p w:rsidR="00725E11" w:rsidRDefault="00FF7510">
      <w:pPr>
        <w:spacing w:line="276" w:lineRule="auto"/>
        <w:jc w:val="both"/>
      </w:pPr>
      <w:r>
        <w:rPr>
          <w:sz w:val="24"/>
          <w:szCs w:val="24"/>
        </w:rPr>
        <w:tab/>
        <w:t>Leticia tem 43 anos, é filha de migrantes nordestinos e nasceu em São José d</w:t>
      </w:r>
      <w:r>
        <w:rPr>
          <w:sz w:val="24"/>
          <w:szCs w:val="24"/>
        </w:rPr>
        <w:t xml:space="preserve">os Campos. Apresenta a história de uma mulher batalhadora, com muita força, foco e fé. Começou a trabalhar aos 9 anos, ajudando os pais no pequeno comércio familiar e não parou mais. </w:t>
      </w:r>
    </w:p>
    <w:p w:rsidR="00725E11" w:rsidRDefault="00FF7510">
      <w:pPr>
        <w:spacing w:line="276" w:lineRule="auto"/>
        <w:jc w:val="both"/>
      </w:pPr>
      <w:r>
        <w:rPr>
          <w:sz w:val="24"/>
          <w:szCs w:val="24"/>
        </w:rPr>
        <w:tab/>
        <w:t>Leticia é da área de comunicação e, com bastante dedicação, adquiriu co</w:t>
      </w:r>
      <w:r>
        <w:rPr>
          <w:sz w:val="24"/>
          <w:szCs w:val="24"/>
        </w:rPr>
        <w:t>nhecimento e habilidade para ingressar no mundo político.</w:t>
      </w:r>
    </w:p>
    <w:p w:rsidR="00725E11" w:rsidRDefault="00FF7510">
      <w:pPr>
        <w:spacing w:line="276" w:lineRule="auto"/>
        <w:jc w:val="both"/>
      </w:pPr>
      <w:r>
        <w:rPr>
          <w:sz w:val="24"/>
          <w:szCs w:val="24"/>
        </w:rPr>
        <w:tab/>
        <w:t>Venceu a 1º eleição, em 2018, para deputada estadual com mais de 60 mil votos e, em 2022, alcançou quase 69 mil, reeleita para continuar a defender a bandeira d</w:t>
      </w:r>
      <w:r>
        <w:rPr>
          <w:sz w:val="24"/>
          <w:szCs w:val="24"/>
        </w:rPr>
        <w:t>a vida e da família; além das bandeir</w:t>
      </w:r>
      <w:r>
        <w:rPr>
          <w:sz w:val="24"/>
          <w:szCs w:val="24"/>
        </w:rPr>
        <w:t>as do combate à pedofilia, da erotização infantil, do combate à violência doméstica e contra a corrupção; além da Defesa das forças de segurança (carinhosamente nomeada a madrinha das Guardas Municipais, também defende as causas sociais e a qualidade do en</w:t>
      </w:r>
      <w:r>
        <w:rPr>
          <w:sz w:val="24"/>
          <w:szCs w:val="24"/>
        </w:rPr>
        <w:t>sino público, com colégios públicos cívico-militares e a escola sem partido.</w:t>
      </w:r>
    </w:p>
    <w:p w:rsidR="00725E11" w:rsidRDefault="00FF7510">
      <w:pPr>
        <w:spacing w:line="276" w:lineRule="auto"/>
        <w:jc w:val="both"/>
      </w:pPr>
      <w:r>
        <w:rPr>
          <w:sz w:val="24"/>
          <w:szCs w:val="24"/>
        </w:rPr>
        <w:tab/>
        <w:t xml:space="preserve">A deputada Leticia é amiga de Mogi Mirim e, depois de conhecer nossa cidade, não mediu esforços para ajudar, enviado recursos para a Guarda Civil Municipal e também </w:t>
      </w:r>
      <w:proofErr w:type="gramStart"/>
      <w:r>
        <w:rPr>
          <w:sz w:val="24"/>
          <w:szCs w:val="24"/>
        </w:rPr>
        <w:t>para  ajudar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nosso Bombeiro Civil Municipal.</w:t>
      </w:r>
    </w:p>
    <w:p w:rsidR="00725E11" w:rsidRDefault="00FF7510">
      <w:pPr>
        <w:spacing w:line="276" w:lineRule="auto"/>
        <w:jc w:val="both"/>
      </w:pPr>
      <w:r>
        <w:rPr>
          <w:sz w:val="24"/>
          <w:szCs w:val="24"/>
        </w:rPr>
        <w:tab/>
        <w:t xml:space="preserve">Além disso, Leticia Aguiar está sempre disposta a articular assuntos junto ao Governo do Estado que são de interesse da nossa população </w:t>
      </w:r>
      <w:proofErr w:type="spellStart"/>
      <w:r>
        <w:rPr>
          <w:sz w:val="24"/>
          <w:szCs w:val="24"/>
        </w:rPr>
        <w:t>mogimiriana</w:t>
      </w:r>
      <w:proofErr w:type="spellEnd"/>
      <w:r>
        <w:rPr>
          <w:sz w:val="24"/>
          <w:szCs w:val="24"/>
        </w:rPr>
        <w:t>, por isso, merece a homenagem desta noite, merece o reconhecimento pelo bel</w:t>
      </w:r>
      <w:r>
        <w:rPr>
          <w:sz w:val="24"/>
          <w:szCs w:val="24"/>
        </w:rPr>
        <w:t>o trabalho que vem desenvolvendo em benefício das pessoas, LETICIA AGUIAR, merece receber o título de CIDADÃ MOGIMIRIANA.</w:t>
      </w: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p w:rsidR="00725E11" w:rsidRDefault="00725E11">
      <w:pPr>
        <w:spacing w:line="276" w:lineRule="auto"/>
        <w:jc w:val="both"/>
        <w:rPr>
          <w:sz w:val="24"/>
          <w:szCs w:val="24"/>
        </w:rPr>
      </w:pPr>
    </w:p>
    <w:sectPr w:rsidR="00725E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10" w:rsidRDefault="00FF7510">
      <w:r>
        <w:separator/>
      </w:r>
    </w:p>
  </w:endnote>
  <w:endnote w:type="continuationSeparator" w:id="0">
    <w:p w:rsidR="00FF7510" w:rsidRDefault="00FF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11" w:rsidRDefault="00FF7510">
    <w:pPr>
      <w:pStyle w:val="Rodap1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10" w:rsidRDefault="00FF7510">
      <w:r>
        <w:separator/>
      </w:r>
    </w:p>
  </w:footnote>
  <w:footnote w:type="continuationSeparator" w:id="0">
    <w:p w:rsidR="00FF7510" w:rsidRDefault="00FF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11" w:rsidRDefault="00FF7510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25E11" w:rsidRDefault="00FF751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11" w:rsidRDefault="00FF7510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61019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25E11" w:rsidRDefault="00725E1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25E11" w:rsidRDefault="00FF751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</w:t>
    </w:r>
    <w:r>
      <w:rPr>
        <w:rFonts w:ascii="Bookman Old Style" w:hAnsi="Bookman Old Style"/>
        <w:b/>
        <w:sz w:val="34"/>
      </w:rPr>
      <w:t xml:space="preserve"> MUNICIPAL DE MOGI MIRIM</w:t>
    </w:r>
  </w:p>
  <w:p w:rsidR="00725E11" w:rsidRDefault="00FF7510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25E11" w:rsidRDefault="00FF7510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25E11" w:rsidRDefault="00725E11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11" w:rsidRDefault="00FF7510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49106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25E11" w:rsidRDefault="00725E1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25E11" w:rsidRDefault="00FF751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25E11" w:rsidRDefault="00FF7510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25E11" w:rsidRDefault="00FF7510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25E11" w:rsidRDefault="00725E11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11"/>
    <w:rsid w:val="00725E11"/>
    <w:rsid w:val="00AD0546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BD99"/>
  <w15:docId w15:val="{B5AF9DBA-BB9B-464A-A41D-D3D509FC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qFormat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7A633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C1F2-6FA4-4278-8E3D-B013FCF3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466</Words>
  <Characters>2520</Characters>
  <Application>Microsoft Office Word</Application>
  <DocSecurity>0</DocSecurity>
  <Lines>21</Lines>
  <Paragraphs>5</Paragraphs>
  <ScaleCrop>false</ScaleCrop>
  <Company>Camara Municipal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8</cp:revision>
  <cp:lastPrinted>2023-07-24T18:18:00Z</cp:lastPrinted>
  <dcterms:created xsi:type="dcterms:W3CDTF">2023-05-10T12:56:00Z</dcterms:created>
  <dcterms:modified xsi:type="dcterms:W3CDTF">2023-09-20T17:46:00Z</dcterms:modified>
  <dc:language>pt-BR</dc:language>
</cp:coreProperties>
</file>