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B54FD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B54FD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64/2023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B54FD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B54FD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D5711F">
        <w:rPr>
          <w:b/>
          <w:bCs/>
        </w:rPr>
        <w:t>64/2023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B54FD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D5711F">
        <w:rPr>
          <w:b/>
          <w:bCs/>
        </w:rPr>
        <w:t>15/08/2023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B54FD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ASSUNTO: REQUER HOMENAGEM A SER REALIZADA EM 22 DE SETEMBRO DE 2023, ÀS 19H00, NO PLENÁRIO DA CÂMARA </w:t>
      </w:r>
      <w:r>
        <w:rPr>
          <w:b/>
          <w:bCs/>
        </w:rPr>
        <w:t>MUNICIPAL, AO SR. PAULO PAÇOS, TREINADOR DA EQUIPE DE LUTA DE BRAÇO “ÁGUIAS DE AÇO”, COM ENTREGA DE PLACA DE MÉRITO.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B54FD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MARA CRISTINA CHOQUETTA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B54FD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B54FD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15 de agosto de 2023, nesta cidade de Mogi Mirim, na Secretaria da Câmara</w:t>
      </w:r>
      <w:r>
        <w:t xml:space="preserve">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B54FDD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B54FD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B54FD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DD" w:rsidRDefault="00B54FDD">
      <w:r>
        <w:separator/>
      </w:r>
    </w:p>
  </w:endnote>
  <w:endnote w:type="continuationSeparator" w:id="0">
    <w:p w:rsidR="00B54FDD" w:rsidRDefault="00B5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DD" w:rsidRDefault="00B54FDD">
      <w:r>
        <w:separator/>
      </w:r>
    </w:p>
  </w:footnote>
  <w:footnote w:type="continuationSeparator" w:id="0">
    <w:p w:rsidR="00B54FDD" w:rsidRDefault="00B5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B54FDD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436699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B54FDD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791"/>
    <w:rsid w:val="004836D7"/>
    <w:rsid w:val="00526AED"/>
    <w:rsid w:val="00536A6B"/>
    <w:rsid w:val="00706349"/>
    <w:rsid w:val="00A77B3E"/>
    <w:rsid w:val="00AD6A97"/>
    <w:rsid w:val="00B54FDD"/>
    <w:rsid w:val="00CA2A55"/>
    <w:rsid w:val="00D5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94344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2023-02-03T12:16:00Z</dcterms:created>
  <dcterms:modified xsi:type="dcterms:W3CDTF">2023-08-15T18:45:00Z</dcterms:modified>
</cp:coreProperties>
</file>