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032A">
      <w:pPr>
        <w:contextualSpacing/>
        <w:rPr>
          <w:rFonts w:ascii="Calibri" w:hAnsi="Calibri"/>
          <w:sz w:val="26"/>
          <w:szCs w:val="26"/>
        </w:rPr>
      </w:pPr>
    </w:p>
    <w:p w:rsidR="006D032A">
      <w:pPr>
        <w:contextualSpacing/>
        <w:rPr>
          <w:rFonts w:ascii="Calibri" w:hAnsi="Calibri"/>
          <w:sz w:val="26"/>
          <w:szCs w:val="26"/>
        </w:rPr>
      </w:pPr>
    </w:p>
    <w:p w:rsidR="00B4491E">
      <w:pPr>
        <w:contextualSpacing/>
      </w:pPr>
      <w:r>
        <w:rPr>
          <w:rFonts w:ascii="Calibri" w:hAnsi="Calibri"/>
          <w:sz w:val="26"/>
          <w:szCs w:val="26"/>
        </w:rPr>
        <w:br/>
      </w:r>
      <w:bookmarkStart w:id="0" w:name="docs-internal-guid-6dc14b50-7fff-3068-6d"/>
      <w:bookmarkEnd w:id="0"/>
      <w:r w:rsidR="002802FC">
        <w:rPr>
          <w:rFonts w:ascii="Calibri" w:hAnsi="Calibri" w:cs="Arial"/>
          <w:b/>
          <w:bCs/>
          <w:iCs/>
          <w:color w:val="000000"/>
          <w:sz w:val="26"/>
          <w:szCs w:val="26"/>
          <w:shd w:val="clear" w:color="auto" w:fill="FFFFFF"/>
        </w:rPr>
        <w:t>Projeto de Lei n.º 99</w:t>
      </w:r>
      <w:r>
        <w:rPr>
          <w:rFonts w:ascii="Calibri" w:hAnsi="Calibri" w:cs="Arial"/>
          <w:b/>
          <w:bCs/>
          <w:iCs/>
          <w:color w:val="000000"/>
          <w:sz w:val="26"/>
          <w:szCs w:val="26"/>
          <w:shd w:val="clear" w:color="auto" w:fill="FFFFFF"/>
        </w:rPr>
        <w:t>/2023</w:t>
      </w:r>
    </w:p>
    <w:p w:rsidR="00B4491E">
      <w:pPr>
        <w:pStyle w:val="BodyText"/>
        <w:spacing w:after="0" w:line="240" w:lineRule="auto"/>
        <w:contextualSpacing/>
        <w:rPr>
          <w:rFonts w:ascii="Calibri" w:hAnsi="Calibri"/>
          <w:b/>
          <w:color w:val="000000"/>
          <w:sz w:val="26"/>
          <w:szCs w:val="26"/>
        </w:rPr>
      </w:pPr>
    </w:p>
    <w:p w:rsidR="00B4491E">
      <w:pPr>
        <w:pStyle w:val="BodyText"/>
        <w:spacing w:after="0" w:line="240" w:lineRule="auto"/>
        <w:contextualSpacing/>
      </w:pPr>
      <w:r>
        <w:rPr>
          <w:rFonts w:ascii="Calibri" w:hAnsi="Calibri"/>
          <w:b/>
          <w:color w:val="000000"/>
          <w:sz w:val="26"/>
          <w:szCs w:val="26"/>
        </w:rPr>
        <w:t>Processo nº 142</w:t>
      </w:r>
      <w:r w:rsidR="00A36119">
        <w:rPr>
          <w:rFonts w:ascii="Calibri" w:hAnsi="Calibri"/>
          <w:b/>
          <w:color w:val="000000"/>
          <w:sz w:val="26"/>
          <w:szCs w:val="26"/>
        </w:rPr>
        <w:t>/2023</w:t>
      </w:r>
    </w:p>
    <w:p w:rsidR="00B4491E">
      <w:pPr>
        <w:pStyle w:val="BodyText"/>
        <w:spacing w:before="240" w:after="0" w:line="240" w:lineRule="auto"/>
        <w:jc w:val="both"/>
        <w:rPr>
          <w:rFonts w:ascii="Calibri" w:hAnsi="Calibri"/>
          <w:color w:val="000000"/>
          <w:sz w:val="26"/>
          <w:szCs w:val="26"/>
        </w:rPr>
      </w:pPr>
      <w:r>
        <w:rPr>
          <w:rFonts w:ascii="Calibri" w:hAnsi="Calibri"/>
          <w:color w:val="000000"/>
          <w:sz w:val="26"/>
          <w:szCs w:val="26"/>
        </w:rPr>
        <w:tab/>
        <w:t xml:space="preserve">Conforme determina o artigo 37 da Resolução 276 de 09 de novembro de 2010 – Regimento Interno da Câmara Municipal, a Comissão Permanente de Finanças e Orçamento emite o presente Relatório acerca do </w:t>
      </w:r>
      <w:r w:rsidR="002802FC">
        <w:rPr>
          <w:rFonts w:ascii="Calibri" w:hAnsi="Calibri"/>
          <w:color w:val="000000"/>
          <w:sz w:val="26"/>
          <w:szCs w:val="26"/>
        </w:rPr>
        <w:t>Projeto de Lei nº 99</w:t>
      </w:r>
      <w:r>
        <w:rPr>
          <w:rFonts w:ascii="Calibri" w:hAnsi="Calibri"/>
          <w:color w:val="000000"/>
          <w:sz w:val="26"/>
          <w:szCs w:val="26"/>
        </w:rPr>
        <w:t>/2023, de autoria do</w:t>
      </w:r>
      <w:r w:rsidR="002802FC">
        <w:rPr>
          <w:rFonts w:ascii="Calibri" w:hAnsi="Calibri"/>
          <w:color w:val="000000"/>
          <w:sz w:val="26"/>
          <w:szCs w:val="26"/>
        </w:rPr>
        <w:t xml:space="preserve"> Nobre Vereador Geraldo Vicente </w:t>
      </w:r>
      <w:r w:rsidR="002802FC">
        <w:rPr>
          <w:rFonts w:ascii="Calibri" w:hAnsi="Calibri"/>
          <w:color w:val="000000"/>
          <w:sz w:val="26"/>
          <w:szCs w:val="26"/>
        </w:rPr>
        <w:t>Bertanha</w:t>
      </w:r>
      <w:r w:rsidR="006D032A">
        <w:rPr>
          <w:rFonts w:ascii="Calibri" w:hAnsi="Calibri"/>
          <w:color w:val="000000"/>
          <w:sz w:val="26"/>
          <w:szCs w:val="26"/>
        </w:rPr>
        <w:t>, sob relatoria do Vereador João Victor Coutinho Gasparini</w:t>
      </w:r>
      <w:r>
        <w:rPr>
          <w:rFonts w:ascii="Calibri" w:hAnsi="Calibri"/>
          <w:color w:val="000000"/>
          <w:sz w:val="26"/>
          <w:szCs w:val="26"/>
        </w:rPr>
        <w:t>.</w:t>
      </w:r>
    </w:p>
    <w:p w:rsidR="00960DD8">
      <w:pPr>
        <w:pStyle w:val="BodyText"/>
        <w:spacing w:before="240" w:after="0" w:line="240" w:lineRule="auto"/>
        <w:jc w:val="both"/>
      </w:pPr>
    </w:p>
    <w:p w:rsidR="00B4491E">
      <w:pPr>
        <w:pStyle w:val="BodyText"/>
        <w:spacing w:before="240" w:after="0" w:line="240" w:lineRule="auto"/>
        <w:jc w:val="both"/>
        <w:rPr>
          <w:rFonts w:ascii="Calibri" w:hAnsi="Calibri"/>
          <w:b/>
          <w:color w:val="000000"/>
          <w:sz w:val="26"/>
          <w:szCs w:val="26"/>
        </w:rPr>
      </w:pPr>
      <w:r>
        <w:rPr>
          <w:rFonts w:ascii="Calibri" w:hAnsi="Calibri"/>
          <w:b/>
          <w:color w:val="000000"/>
          <w:sz w:val="26"/>
          <w:szCs w:val="26"/>
        </w:rPr>
        <w:t>I. Exposição da Matéria</w:t>
      </w:r>
    </w:p>
    <w:p w:rsidR="00960DD8" w:rsidP="006D032A">
      <w:pPr>
        <w:pStyle w:val="BodyText"/>
        <w:spacing w:before="240"/>
        <w:jc w:val="both"/>
        <w:rPr>
          <w:rFonts w:ascii="Calibri" w:hAnsi="Calibri"/>
          <w:color w:val="000000"/>
          <w:sz w:val="26"/>
          <w:szCs w:val="26"/>
        </w:rPr>
      </w:pPr>
    </w:p>
    <w:p w:rsidR="00AE66A7" w:rsidP="00AE66A7">
      <w:pPr>
        <w:pStyle w:val="BodyText"/>
        <w:spacing w:after="0"/>
        <w:jc w:val="both"/>
        <w:rPr>
          <w:rFonts w:ascii="Calibri" w:hAnsi="Calibri"/>
          <w:color w:val="000000"/>
          <w:sz w:val="26"/>
          <w:szCs w:val="26"/>
        </w:rPr>
      </w:pPr>
      <w:r>
        <w:rPr>
          <w:rFonts w:ascii="Calibri" w:hAnsi="Calibri"/>
          <w:color w:val="000000"/>
          <w:sz w:val="26"/>
          <w:szCs w:val="26"/>
        </w:rPr>
        <w:tab/>
      </w:r>
      <w:r w:rsidRPr="00AE66A7">
        <w:rPr>
          <w:rFonts w:ascii="Calibri" w:hAnsi="Calibri"/>
          <w:color w:val="000000"/>
          <w:sz w:val="26"/>
          <w:szCs w:val="26"/>
        </w:rPr>
        <w:t xml:space="preserve">O Nobre Vereador Geraldo Vicente </w:t>
      </w:r>
      <w:r w:rsidRPr="00AE66A7">
        <w:rPr>
          <w:rFonts w:ascii="Calibri" w:hAnsi="Calibri"/>
          <w:color w:val="000000"/>
          <w:sz w:val="26"/>
          <w:szCs w:val="26"/>
        </w:rPr>
        <w:t>Bertanha</w:t>
      </w:r>
      <w:r w:rsidRPr="00AE66A7">
        <w:rPr>
          <w:rFonts w:ascii="Calibri" w:hAnsi="Calibri"/>
          <w:color w:val="000000"/>
          <w:sz w:val="26"/>
          <w:szCs w:val="26"/>
        </w:rPr>
        <w:t xml:space="preserve"> protocolou neste recinto legislativo o Projeto de Lei nº 99/2023, que "Institui no âmbito do Município de Mogi Mirim a campanha permanente de conscientização, orientação e prevenção à febre maculosa, e adota outras providências".</w:t>
      </w:r>
    </w:p>
    <w:p w:rsidR="00AE66A7" w:rsidP="00AE66A7">
      <w:pPr>
        <w:pStyle w:val="BodyText"/>
        <w:spacing w:after="0"/>
        <w:jc w:val="both"/>
        <w:rPr>
          <w:rFonts w:ascii="Calibri" w:hAnsi="Calibri"/>
          <w:color w:val="000000"/>
          <w:sz w:val="26"/>
          <w:szCs w:val="26"/>
        </w:rPr>
      </w:pPr>
    </w:p>
    <w:p w:rsidR="00AE66A7" w:rsidP="00AE66A7">
      <w:pPr>
        <w:pStyle w:val="BodyText"/>
        <w:spacing w:after="0"/>
        <w:ind w:firstLine="851"/>
        <w:jc w:val="both"/>
        <w:rPr>
          <w:rFonts w:ascii="Calibri" w:hAnsi="Calibri"/>
          <w:color w:val="000000"/>
          <w:sz w:val="26"/>
          <w:szCs w:val="26"/>
        </w:rPr>
      </w:pPr>
      <w:r w:rsidRPr="00AE66A7">
        <w:rPr>
          <w:rFonts w:ascii="Calibri" w:hAnsi="Calibri"/>
          <w:color w:val="000000"/>
          <w:sz w:val="26"/>
          <w:szCs w:val="26"/>
        </w:rPr>
        <w:t>O mencionado Projeto de Lei tem como propósito estabelecer, no município de Mogi Mirim, a campanha contínua de conscientização e prevenção em relação à febre maculosa, com os seguintes objetivos:</w:t>
      </w:r>
    </w:p>
    <w:p w:rsidR="00AE66A7" w:rsidRPr="00AE66A7" w:rsidP="00AE66A7">
      <w:pPr>
        <w:pStyle w:val="BodyText"/>
        <w:spacing w:after="0"/>
        <w:ind w:firstLine="567"/>
        <w:jc w:val="both"/>
        <w:rPr>
          <w:rFonts w:ascii="Calibri" w:hAnsi="Calibri"/>
          <w:color w:val="000000"/>
          <w:sz w:val="26"/>
          <w:szCs w:val="26"/>
        </w:rPr>
      </w:pPr>
    </w:p>
    <w:p w:rsidR="00AE66A7" w:rsidRPr="00AE66A7" w:rsidP="00AE66A7">
      <w:pPr>
        <w:pStyle w:val="BodyText"/>
        <w:spacing w:after="0"/>
        <w:ind w:left="1701"/>
        <w:jc w:val="both"/>
        <w:rPr>
          <w:i/>
          <w:color w:val="000000"/>
          <w:sz w:val="26"/>
          <w:szCs w:val="26"/>
        </w:rPr>
      </w:pPr>
      <w:r w:rsidRPr="00AE66A7">
        <w:rPr>
          <w:i/>
          <w:color w:val="000000"/>
          <w:sz w:val="26"/>
          <w:szCs w:val="26"/>
        </w:rPr>
        <w:t xml:space="preserve">I - </w:t>
      </w:r>
      <w:r w:rsidRPr="00AE66A7">
        <w:rPr>
          <w:i/>
          <w:color w:val="000000"/>
          <w:sz w:val="26"/>
          <w:szCs w:val="26"/>
        </w:rPr>
        <w:t>manter</w:t>
      </w:r>
      <w:r w:rsidRPr="00AE66A7">
        <w:rPr>
          <w:i/>
          <w:color w:val="000000"/>
          <w:sz w:val="26"/>
          <w:szCs w:val="26"/>
        </w:rPr>
        <w:t xml:space="preserve"> de maneira constante, ativa e atualizada as ações de prevenção e combate à contaminação pela febre maculosa;</w:t>
      </w:r>
    </w:p>
    <w:p w:rsidR="00AE66A7" w:rsidP="00AE66A7">
      <w:pPr>
        <w:pStyle w:val="BodyText"/>
        <w:spacing w:after="0"/>
        <w:ind w:left="1701"/>
        <w:jc w:val="both"/>
        <w:rPr>
          <w:i/>
          <w:color w:val="000000"/>
          <w:sz w:val="26"/>
          <w:szCs w:val="26"/>
        </w:rPr>
      </w:pPr>
    </w:p>
    <w:p w:rsidR="00AE66A7" w:rsidRPr="00AE66A7" w:rsidP="00AE66A7">
      <w:pPr>
        <w:pStyle w:val="BodyText"/>
        <w:spacing w:after="0"/>
        <w:ind w:left="1701"/>
        <w:jc w:val="both"/>
        <w:rPr>
          <w:i/>
          <w:color w:val="000000"/>
          <w:sz w:val="26"/>
          <w:szCs w:val="26"/>
        </w:rPr>
      </w:pPr>
      <w:r w:rsidRPr="00AE66A7">
        <w:rPr>
          <w:i/>
          <w:color w:val="000000"/>
          <w:sz w:val="26"/>
          <w:szCs w:val="26"/>
        </w:rPr>
        <w:t xml:space="preserve">II - </w:t>
      </w:r>
      <w:r w:rsidRPr="00AE66A7">
        <w:rPr>
          <w:i/>
          <w:color w:val="000000"/>
          <w:sz w:val="26"/>
          <w:szCs w:val="26"/>
        </w:rPr>
        <w:t>ampliar</w:t>
      </w:r>
      <w:r w:rsidRPr="00AE66A7">
        <w:rPr>
          <w:i/>
          <w:color w:val="000000"/>
          <w:sz w:val="26"/>
          <w:szCs w:val="26"/>
        </w:rPr>
        <w:t xml:space="preserve"> a divulgação de informações sobre a transmissão da doença, os sintomas e os procedimentos para o tratamento médico em caso de suspeita de contaminação;</w:t>
      </w:r>
    </w:p>
    <w:p w:rsidR="00AE66A7" w:rsidP="00AE66A7">
      <w:pPr>
        <w:pStyle w:val="BodyText"/>
        <w:spacing w:after="0"/>
        <w:ind w:left="1701"/>
        <w:jc w:val="both"/>
        <w:rPr>
          <w:i/>
          <w:color w:val="000000"/>
          <w:sz w:val="26"/>
          <w:szCs w:val="26"/>
        </w:rPr>
      </w:pPr>
    </w:p>
    <w:p w:rsidR="00AE66A7" w:rsidRPr="00AE66A7" w:rsidP="00AE66A7">
      <w:pPr>
        <w:pStyle w:val="BodyText"/>
        <w:spacing w:after="0"/>
        <w:ind w:left="1701"/>
        <w:jc w:val="both"/>
        <w:rPr>
          <w:i/>
          <w:color w:val="000000"/>
          <w:sz w:val="26"/>
          <w:szCs w:val="26"/>
        </w:rPr>
      </w:pPr>
      <w:r w:rsidRPr="00AE66A7">
        <w:rPr>
          <w:i/>
          <w:color w:val="000000"/>
          <w:sz w:val="26"/>
          <w:szCs w:val="26"/>
        </w:rPr>
        <w:t>III - incentivar a busca pela prevenção, pelo diagnóstico e pelo tratamento dos pacientes.</w:t>
      </w:r>
    </w:p>
    <w:p w:rsidR="00AE66A7" w:rsidP="00AE66A7">
      <w:pPr>
        <w:pStyle w:val="BodyText"/>
        <w:spacing w:after="0"/>
        <w:ind w:firstLine="709"/>
        <w:jc w:val="both"/>
        <w:rPr>
          <w:rFonts w:ascii="Calibri" w:hAnsi="Calibri"/>
          <w:color w:val="000000"/>
          <w:sz w:val="26"/>
          <w:szCs w:val="26"/>
        </w:rPr>
      </w:pPr>
    </w:p>
    <w:p w:rsidR="00AE66A7" w:rsidRPr="00AE66A7" w:rsidP="00AE66A7">
      <w:pPr>
        <w:pStyle w:val="BodyText"/>
        <w:spacing w:after="0"/>
        <w:ind w:firstLine="709"/>
        <w:jc w:val="both"/>
        <w:rPr>
          <w:rFonts w:ascii="Calibri" w:hAnsi="Calibri"/>
          <w:color w:val="000000"/>
          <w:sz w:val="26"/>
          <w:szCs w:val="26"/>
        </w:rPr>
      </w:pPr>
      <w:r w:rsidRPr="00AE66A7">
        <w:rPr>
          <w:rFonts w:ascii="Calibri" w:hAnsi="Calibri"/>
          <w:color w:val="000000"/>
          <w:sz w:val="26"/>
          <w:szCs w:val="26"/>
        </w:rPr>
        <w:t>Conforme consta na mensagem que acompanha o Projeto de Lei (fls. 03), no ano de 2023, muitas cidades do estado de São Paulo registraram mortes devido à doença, chamando a atenção das autoridades estaduais.</w:t>
      </w:r>
    </w:p>
    <w:p w:rsidR="00AE66A7" w:rsidP="00AE66A7">
      <w:pPr>
        <w:pStyle w:val="BodyText"/>
        <w:ind w:firstLine="709"/>
        <w:jc w:val="both"/>
        <w:rPr>
          <w:rFonts w:ascii="Calibri" w:hAnsi="Calibri"/>
          <w:color w:val="000000"/>
          <w:sz w:val="26"/>
          <w:szCs w:val="26"/>
        </w:rPr>
      </w:pPr>
    </w:p>
    <w:p w:rsidR="00AE66A7" w:rsidP="00AE66A7">
      <w:pPr>
        <w:pStyle w:val="BodyText"/>
        <w:ind w:firstLine="709"/>
        <w:jc w:val="both"/>
        <w:rPr>
          <w:rFonts w:ascii="Calibri" w:hAnsi="Calibri"/>
          <w:color w:val="000000"/>
          <w:sz w:val="26"/>
          <w:szCs w:val="26"/>
        </w:rPr>
      </w:pPr>
      <w:r w:rsidRPr="00AE66A7">
        <w:rPr>
          <w:rFonts w:ascii="Calibri" w:hAnsi="Calibri"/>
          <w:color w:val="000000"/>
          <w:sz w:val="26"/>
          <w:szCs w:val="26"/>
        </w:rPr>
        <w:t xml:space="preserve">Especificamente em Mogi Mirim, a mensagem menciona que, ano após ano, os casos estão em ascensão, com registros de óbitos desde 2021, o que causa grande preocupação. </w:t>
      </w:r>
    </w:p>
    <w:p w:rsidR="00AE66A7" w:rsidP="00AE66A7">
      <w:pPr>
        <w:pStyle w:val="BodyText"/>
        <w:ind w:firstLine="709"/>
        <w:jc w:val="both"/>
        <w:rPr>
          <w:rFonts w:ascii="Calibri" w:hAnsi="Calibri"/>
          <w:color w:val="000000"/>
          <w:sz w:val="26"/>
          <w:szCs w:val="26"/>
        </w:rPr>
      </w:pPr>
    </w:p>
    <w:p w:rsidR="00AE66A7" w:rsidRPr="00AE66A7" w:rsidP="00AE66A7">
      <w:pPr>
        <w:pStyle w:val="BodyText"/>
        <w:ind w:firstLine="709"/>
        <w:jc w:val="both"/>
        <w:rPr>
          <w:rFonts w:ascii="Calibri" w:hAnsi="Calibri"/>
          <w:color w:val="000000"/>
          <w:sz w:val="26"/>
          <w:szCs w:val="26"/>
        </w:rPr>
      </w:pPr>
      <w:r w:rsidRPr="00AE66A7">
        <w:rPr>
          <w:rFonts w:ascii="Calibri" w:hAnsi="Calibri"/>
          <w:color w:val="000000"/>
          <w:sz w:val="26"/>
          <w:szCs w:val="26"/>
        </w:rPr>
        <w:t xml:space="preserve">No Lago </w:t>
      </w:r>
      <w:r w:rsidRPr="00AE66A7">
        <w:rPr>
          <w:rFonts w:ascii="Calibri" w:hAnsi="Calibri"/>
          <w:color w:val="000000"/>
          <w:sz w:val="26"/>
          <w:szCs w:val="26"/>
        </w:rPr>
        <w:t>Lavapés</w:t>
      </w:r>
      <w:r w:rsidRPr="00AE66A7">
        <w:rPr>
          <w:rFonts w:ascii="Calibri" w:hAnsi="Calibri"/>
          <w:color w:val="000000"/>
          <w:sz w:val="26"/>
          <w:szCs w:val="26"/>
        </w:rPr>
        <w:t xml:space="preserve">, em particular, onde há várias capivaras, importantes hospedeiros do carrapato-estrela, transmissor da doença, dos 07 (sete) casos registrados entre </w:t>
      </w:r>
      <w:r>
        <w:rPr>
          <w:rFonts w:ascii="Calibri" w:hAnsi="Calibri"/>
          <w:color w:val="000000"/>
          <w:sz w:val="26"/>
          <w:szCs w:val="26"/>
        </w:rPr>
        <w:t xml:space="preserve">os anos de </w:t>
      </w:r>
      <w:r w:rsidRPr="00AE66A7">
        <w:rPr>
          <w:rFonts w:ascii="Calibri" w:hAnsi="Calibri"/>
          <w:color w:val="000000"/>
          <w:sz w:val="26"/>
          <w:szCs w:val="26"/>
        </w:rPr>
        <w:t xml:space="preserve">2021 e 2023, três apresentam provável contaminação no local (Lago </w:t>
      </w:r>
      <w:r w:rsidRPr="00AE66A7">
        <w:rPr>
          <w:rFonts w:ascii="Calibri" w:hAnsi="Calibri"/>
          <w:color w:val="000000"/>
          <w:sz w:val="26"/>
          <w:szCs w:val="26"/>
        </w:rPr>
        <w:t>Lavapés</w:t>
      </w:r>
      <w:r w:rsidRPr="00AE66A7">
        <w:rPr>
          <w:rFonts w:ascii="Calibri" w:hAnsi="Calibri"/>
          <w:color w:val="000000"/>
          <w:sz w:val="26"/>
          <w:szCs w:val="26"/>
        </w:rPr>
        <w:t>).</w:t>
      </w:r>
    </w:p>
    <w:p w:rsidR="00AE66A7" w:rsidP="00AE66A7">
      <w:pPr>
        <w:pStyle w:val="BodyText"/>
        <w:spacing w:after="0"/>
        <w:ind w:firstLine="709"/>
        <w:jc w:val="both"/>
        <w:rPr>
          <w:rFonts w:ascii="Calibri" w:hAnsi="Calibri"/>
          <w:color w:val="000000"/>
          <w:sz w:val="26"/>
          <w:szCs w:val="26"/>
        </w:rPr>
      </w:pPr>
    </w:p>
    <w:p w:rsidR="009120B5" w:rsidP="005A0858">
      <w:pPr>
        <w:pStyle w:val="BodyText"/>
        <w:spacing w:after="0"/>
        <w:ind w:firstLine="851"/>
        <w:jc w:val="both"/>
        <w:rPr>
          <w:rFonts w:ascii="Calibri" w:hAnsi="Calibri"/>
          <w:color w:val="000000"/>
          <w:sz w:val="26"/>
          <w:szCs w:val="26"/>
        </w:rPr>
      </w:pPr>
      <w:r>
        <w:rPr>
          <w:rFonts w:ascii="Calibri" w:hAnsi="Calibri"/>
          <w:color w:val="000000"/>
          <w:sz w:val="26"/>
          <w:szCs w:val="26"/>
        </w:rPr>
        <w:t>Segundo artigo 3º da Lei em Propositura, para desenvolvimento da campanha, poderão ser adotadas algumas ações e atividades, tais como elaboração e distribuição de material didático e a realização de ações educativas em eventos públicos.</w:t>
      </w:r>
    </w:p>
    <w:p w:rsidR="009120B5" w:rsidP="005A0858">
      <w:pPr>
        <w:pStyle w:val="BodyText"/>
        <w:spacing w:after="0"/>
        <w:ind w:firstLine="851"/>
        <w:jc w:val="both"/>
        <w:rPr>
          <w:rFonts w:ascii="Calibri" w:hAnsi="Calibri"/>
          <w:color w:val="000000"/>
          <w:sz w:val="26"/>
          <w:szCs w:val="26"/>
        </w:rPr>
      </w:pPr>
    </w:p>
    <w:p w:rsidR="009120B5" w:rsidP="005A0858">
      <w:pPr>
        <w:pStyle w:val="BodyText"/>
        <w:spacing w:after="0"/>
        <w:ind w:firstLine="851"/>
        <w:jc w:val="both"/>
        <w:rPr>
          <w:rFonts w:ascii="Calibri" w:hAnsi="Calibri"/>
          <w:color w:val="000000"/>
          <w:sz w:val="26"/>
          <w:szCs w:val="26"/>
        </w:rPr>
      </w:pPr>
      <w:r>
        <w:rPr>
          <w:rFonts w:ascii="Calibri" w:hAnsi="Calibri"/>
          <w:color w:val="000000"/>
          <w:sz w:val="26"/>
          <w:szCs w:val="26"/>
        </w:rPr>
        <w:t>Ademais, consta no texto da lei (artigo 4º), que clínicas veterinárias, pet shops e outros estabelecimentos similares poderão afixar cartazes informativo.</w:t>
      </w:r>
    </w:p>
    <w:p w:rsidR="009120B5" w:rsidP="005A0858">
      <w:pPr>
        <w:pStyle w:val="BodyText"/>
        <w:spacing w:after="0"/>
        <w:ind w:firstLine="851"/>
        <w:jc w:val="both"/>
        <w:rPr>
          <w:rFonts w:ascii="Calibri" w:hAnsi="Calibri"/>
          <w:color w:val="000000"/>
          <w:sz w:val="26"/>
          <w:szCs w:val="26"/>
        </w:rPr>
      </w:pPr>
    </w:p>
    <w:p w:rsidR="00B4491E">
      <w:pPr>
        <w:pStyle w:val="BodyText"/>
        <w:spacing w:before="240" w:after="0" w:line="240" w:lineRule="auto"/>
        <w:jc w:val="both"/>
        <w:rPr>
          <w:rFonts w:ascii="Calibri" w:hAnsi="Calibri"/>
          <w:b/>
          <w:color w:val="000000"/>
          <w:sz w:val="26"/>
          <w:szCs w:val="26"/>
        </w:rPr>
      </w:pPr>
      <w:r>
        <w:rPr>
          <w:rFonts w:ascii="Calibri" w:hAnsi="Calibri"/>
          <w:b/>
          <w:color w:val="000000"/>
          <w:sz w:val="26"/>
          <w:szCs w:val="26"/>
        </w:rPr>
        <w:t>II. Do mérito e conclusões do</w:t>
      </w:r>
      <w:r w:rsidR="00A36119">
        <w:rPr>
          <w:rFonts w:ascii="Calibri" w:hAnsi="Calibri"/>
          <w:b/>
          <w:color w:val="000000"/>
          <w:sz w:val="26"/>
          <w:szCs w:val="26"/>
        </w:rPr>
        <w:t xml:space="preserve"> relator</w:t>
      </w:r>
    </w:p>
    <w:p w:rsidR="005A0858">
      <w:pPr>
        <w:pStyle w:val="BodyText"/>
        <w:spacing w:before="240" w:after="0" w:line="240" w:lineRule="auto"/>
        <w:jc w:val="both"/>
        <w:rPr>
          <w:rFonts w:ascii="Calibri" w:hAnsi="Calibri"/>
          <w:b/>
          <w:color w:val="000000"/>
          <w:sz w:val="26"/>
          <w:szCs w:val="26"/>
        </w:rPr>
      </w:pPr>
    </w:p>
    <w:p w:rsidR="005A0858" w:rsidP="00E73CB2">
      <w:pPr>
        <w:pStyle w:val="BodyText"/>
        <w:spacing w:after="0"/>
        <w:ind w:firstLine="1418"/>
        <w:jc w:val="both"/>
        <w:rPr>
          <w:rFonts w:ascii="Calibri" w:hAnsi="Calibri"/>
          <w:color w:val="000000"/>
          <w:sz w:val="26"/>
          <w:szCs w:val="26"/>
        </w:rPr>
      </w:pPr>
      <w:r w:rsidRPr="005A0858">
        <w:rPr>
          <w:rFonts w:ascii="Calibri" w:hAnsi="Calibri"/>
          <w:color w:val="000000"/>
          <w:sz w:val="26"/>
          <w:szCs w:val="26"/>
        </w:rPr>
        <w:t>Inicialmente, vale destacar que a presente propositura já tramitou por algumas comissões temáticas desta Casa, recebendo os Pareceres Favoráveis das Comissões de Justiça e Redação, de Educação, Saúde, Cultur</w:t>
      </w:r>
      <w:r>
        <w:rPr>
          <w:rFonts w:ascii="Calibri" w:hAnsi="Calibri"/>
          <w:color w:val="000000"/>
          <w:sz w:val="26"/>
          <w:szCs w:val="26"/>
        </w:rPr>
        <w:t>a, Esporte e Assistência Social.</w:t>
      </w:r>
    </w:p>
    <w:p w:rsidR="005A0858" w:rsidP="00E73CB2">
      <w:pPr>
        <w:pStyle w:val="BodyText"/>
        <w:spacing w:after="0"/>
        <w:ind w:firstLine="1418"/>
        <w:jc w:val="both"/>
        <w:rPr>
          <w:rFonts w:ascii="Calibri" w:hAnsi="Calibri"/>
          <w:color w:val="000000"/>
          <w:sz w:val="26"/>
          <w:szCs w:val="26"/>
        </w:rPr>
      </w:pPr>
    </w:p>
    <w:p w:rsidR="00B4491E" w:rsidP="00E73CB2">
      <w:pPr>
        <w:pStyle w:val="BodyText"/>
        <w:spacing w:after="0"/>
        <w:ind w:firstLine="1418"/>
        <w:jc w:val="both"/>
        <w:rPr>
          <w:rFonts w:ascii="Calibri" w:hAnsi="Calibri"/>
          <w:color w:val="000000"/>
          <w:sz w:val="26"/>
          <w:szCs w:val="26"/>
        </w:rPr>
      </w:pPr>
      <w:r w:rsidRPr="005A0858">
        <w:rPr>
          <w:rFonts w:ascii="Calibri" w:hAnsi="Calibri"/>
          <w:color w:val="000000"/>
          <w:sz w:val="26"/>
          <w:szCs w:val="26"/>
        </w:rPr>
        <w:t>De acordo com o art. 37 do Regimento Interno vigente, é de competência desta Comissão Permanente de Finanças e Orçamento se manifestar nas proposituras que possuam cunho orçamentário ou financeiro.</w:t>
      </w:r>
    </w:p>
    <w:p w:rsidR="005A0858" w:rsidRPr="005A0858" w:rsidP="005A0858">
      <w:pPr>
        <w:pStyle w:val="BodyText"/>
        <w:spacing w:after="0"/>
        <w:ind w:firstLine="851"/>
        <w:jc w:val="both"/>
        <w:rPr>
          <w:rFonts w:ascii="Calibri" w:hAnsi="Calibri"/>
          <w:color w:val="000000"/>
          <w:sz w:val="26"/>
          <w:szCs w:val="26"/>
        </w:rPr>
      </w:pPr>
    </w:p>
    <w:p w:rsidR="00B4491E" w:rsidRPr="005A0858" w:rsidP="005A0858">
      <w:pPr>
        <w:pStyle w:val="BodyText"/>
        <w:spacing w:after="0"/>
        <w:ind w:firstLine="2127"/>
        <w:jc w:val="both"/>
        <w:rPr>
          <w:rFonts w:ascii="Calibri" w:hAnsi="Calibri"/>
          <w:color w:val="000000"/>
          <w:sz w:val="26"/>
          <w:szCs w:val="26"/>
        </w:rPr>
      </w:pPr>
      <w:r w:rsidRPr="005A0858">
        <w:rPr>
          <w:rFonts w:ascii="Calibri" w:hAnsi="Calibri"/>
          <w:color w:val="000000"/>
          <w:sz w:val="26"/>
          <w:szCs w:val="26"/>
        </w:rPr>
        <w:t>“[…]</w:t>
      </w:r>
    </w:p>
    <w:p w:rsidR="00B4491E" w:rsidP="005A0858">
      <w:pPr>
        <w:pStyle w:val="BodyText"/>
        <w:spacing w:before="240" w:after="240" w:line="240" w:lineRule="auto"/>
        <w:ind w:left="2124"/>
        <w:jc w:val="both"/>
      </w:pPr>
      <w:r>
        <w:rPr>
          <w:rFonts w:ascii="Calibri" w:eastAsia="Arial" w:hAnsi="Calibri" w:cs="Arial"/>
          <w:i/>
          <w:iCs/>
          <w:color w:val="000000"/>
          <w:sz w:val="24"/>
          <w:szCs w:val="24"/>
        </w:rPr>
        <w:t xml:space="preserve">III - proposições referentes à matéria tributária, abertura de créditos suplementares e especiais, empréstimos públicos e as que, direta ou indiretamente, </w:t>
      </w:r>
      <w:r>
        <w:rPr>
          <w:rFonts w:ascii="Calibri" w:eastAsia="Arial" w:hAnsi="Calibri" w:cs="Arial"/>
          <w:i/>
          <w:iCs/>
          <w:color w:val="000000"/>
          <w:sz w:val="24"/>
          <w:szCs w:val="24"/>
          <w:u w:val="single"/>
        </w:rPr>
        <w:t>alterem a despesa e/ou a receita do Município</w:t>
      </w:r>
      <w:r>
        <w:rPr>
          <w:rFonts w:ascii="Calibri" w:eastAsia="Arial" w:hAnsi="Calibri" w:cs="Arial"/>
          <w:i/>
          <w:iCs/>
          <w:color w:val="000000"/>
          <w:sz w:val="24"/>
          <w:szCs w:val="24"/>
        </w:rPr>
        <w:t>, acarretem responsabilidade ao erário municipal ou interessem ao crédito público;</w:t>
      </w:r>
    </w:p>
    <w:p w:rsidR="00B4491E" w:rsidP="005A0858">
      <w:pPr>
        <w:pStyle w:val="BodyText"/>
        <w:spacing w:before="240" w:after="240" w:line="240" w:lineRule="auto"/>
        <w:ind w:left="2127"/>
        <w:jc w:val="both"/>
        <w:rPr>
          <w:rFonts w:ascii="Calibri" w:eastAsia="Arial" w:hAnsi="Calibri" w:cs="Arial"/>
          <w:i/>
          <w:iCs/>
          <w:color w:val="000000"/>
          <w:sz w:val="24"/>
          <w:szCs w:val="24"/>
        </w:rPr>
      </w:pPr>
      <w:r>
        <w:rPr>
          <w:rFonts w:ascii="Calibri" w:eastAsia="Arial" w:hAnsi="Calibri" w:cs="Arial"/>
          <w:i/>
          <w:iCs/>
          <w:color w:val="000000"/>
          <w:sz w:val="24"/>
          <w:szCs w:val="24"/>
        </w:rPr>
        <w:t>[…]”.</w:t>
      </w:r>
    </w:p>
    <w:p w:rsidR="005A0858" w:rsidP="00E73CB2">
      <w:pPr>
        <w:pStyle w:val="BodyText"/>
        <w:spacing w:after="0"/>
        <w:ind w:firstLine="1418"/>
        <w:jc w:val="both"/>
        <w:rPr>
          <w:rFonts w:ascii="Calibri" w:hAnsi="Calibri"/>
          <w:color w:val="000000"/>
          <w:sz w:val="26"/>
          <w:szCs w:val="26"/>
        </w:rPr>
      </w:pPr>
      <w:r w:rsidRPr="005A0858">
        <w:rPr>
          <w:rFonts w:ascii="Calibri" w:hAnsi="Calibri"/>
          <w:color w:val="000000"/>
          <w:sz w:val="26"/>
          <w:szCs w:val="26"/>
        </w:rPr>
        <w:tab/>
      </w:r>
    </w:p>
    <w:p w:rsidR="00E73CB2" w:rsidP="00E73CB2">
      <w:pPr>
        <w:pStyle w:val="BodyText"/>
        <w:spacing w:after="0"/>
        <w:ind w:firstLine="1418"/>
        <w:jc w:val="both"/>
        <w:rPr>
          <w:rFonts w:ascii="Calibri" w:hAnsi="Calibri"/>
          <w:color w:val="000000"/>
          <w:sz w:val="26"/>
          <w:szCs w:val="26"/>
        </w:rPr>
      </w:pPr>
      <w:r w:rsidRPr="00EC436E">
        <w:rPr>
          <w:rFonts w:ascii="Calibri" w:hAnsi="Calibri"/>
          <w:color w:val="000000"/>
          <w:sz w:val="26"/>
          <w:szCs w:val="26"/>
        </w:rPr>
        <w:t xml:space="preserve">Analisando o teor do Projeto de Lei em questão, percebe-se que sua finalidade é de grande relevância para a saúde pública, estabelecendo medidas necessárias para a prevenção e combate à febre maculosa. </w:t>
      </w:r>
    </w:p>
    <w:p w:rsidR="00E73CB2" w:rsidP="00E73CB2">
      <w:pPr>
        <w:pStyle w:val="BodyText"/>
        <w:spacing w:after="0"/>
        <w:ind w:firstLine="1418"/>
        <w:jc w:val="both"/>
        <w:rPr>
          <w:rFonts w:ascii="Calibri" w:hAnsi="Calibri"/>
          <w:color w:val="000000"/>
          <w:sz w:val="26"/>
          <w:szCs w:val="26"/>
        </w:rPr>
      </w:pPr>
    </w:p>
    <w:p w:rsidR="00EC436E" w:rsidP="00E73CB2">
      <w:pPr>
        <w:pStyle w:val="BodyText"/>
        <w:spacing w:after="0"/>
        <w:ind w:firstLine="1418"/>
        <w:jc w:val="both"/>
        <w:rPr>
          <w:rFonts w:ascii="Calibri" w:hAnsi="Calibri"/>
          <w:color w:val="000000"/>
          <w:sz w:val="26"/>
          <w:szCs w:val="26"/>
        </w:rPr>
      </w:pPr>
      <w:r w:rsidRPr="00EC436E">
        <w:rPr>
          <w:rFonts w:ascii="Calibri" w:hAnsi="Calibri"/>
          <w:color w:val="000000"/>
          <w:sz w:val="26"/>
          <w:szCs w:val="26"/>
        </w:rPr>
        <w:t>A iniciativa propõe ações que visam informar a população sobre os riscos da doença, suas formas de transmissão, sintomas e procedimentos médicos adequados em caso de suspeita.</w:t>
      </w:r>
    </w:p>
    <w:p w:rsidR="00E73CB2" w:rsidRPr="00EC436E" w:rsidP="00E73CB2">
      <w:pPr>
        <w:pStyle w:val="BodyText"/>
        <w:spacing w:after="0"/>
        <w:ind w:firstLine="1418"/>
        <w:jc w:val="both"/>
        <w:rPr>
          <w:rFonts w:ascii="Calibri" w:hAnsi="Calibri"/>
          <w:color w:val="000000"/>
          <w:sz w:val="26"/>
          <w:szCs w:val="26"/>
        </w:rPr>
      </w:pPr>
    </w:p>
    <w:p w:rsidR="00EC436E" w:rsidP="00E73CB2">
      <w:pPr>
        <w:pStyle w:val="BodyText"/>
        <w:spacing w:after="0"/>
        <w:ind w:firstLine="1418"/>
        <w:jc w:val="both"/>
        <w:rPr>
          <w:rFonts w:ascii="Calibri" w:hAnsi="Calibri"/>
          <w:color w:val="000000"/>
          <w:sz w:val="26"/>
          <w:szCs w:val="26"/>
        </w:rPr>
      </w:pPr>
      <w:r w:rsidRPr="00EC436E">
        <w:rPr>
          <w:rFonts w:ascii="Calibri" w:hAnsi="Calibri"/>
          <w:color w:val="000000"/>
          <w:sz w:val="26"/>
          <w:szCs w:val="26"/>
        </w:rPr>
        <w:t xml:space="preserve">Os artigos </w:t>
      </w:r>
      <w:r w:rsidR="00E73CB2">
        <w:rPr>
          <w:rFonts w:ascii="Calibri" w:hAnsi="Calibri"/>
          <w:color w:val="000000"/>
          <w:sz w:val="26"/>
          <w:szCs w:val="26"/>
        </w:rPr>
        <w:t xml:space="preserve">da lei </w:t>
      </w:r>
      <w:r w:rsidRPr="00EC436E">
        <w:rPr>
          <w:rFonts w:ascii="Calibri" w:hAnsi="Calibri"/>
          <w:color w:val="000000"/>
          <w:sz w:val="26"/>
          <w:szCs w:val="26"/>
        </w:rPr>
        <w:t>detalham os objetivos da campanha, suas possíveis ações e atividades, destacando a possibilidade de parcerias entre o órgão competente do Poder Executivo e outras instituições governamentais ou não governamentais.</w:t>
      </w:r>
    </w:p>
    <w:p w:rsidR="00E73CB2" w:rsidRPr="00EC436E" w:rsidP="00E73CB2">
      <w:pPr>
        <w:pStyle w:val="BodyText"/>
        <w:spacing w:after="0"/>
        <w:ind w:firstLine="1418"/>
        <w:jc w:val="both"/>
        <w:rPr>
          <w:rFonts w:ascii="Calibri" w:hAnsi="Calibri"/>
          <w:color w:val="000000"/>
          <w:sz w:val="26"/>
          <w:szCs w:val="26"/>
        </w:rPr>
      </w:pPr>
    </w:p>
    <w:p w:rsidR="00E73CB2" w:rsidP="00E73CB2">
      <w:pPr>
        <w:pStyle w:val="BodyText"/>
        <w:spacing w:after="0"/>
        <w:ind w:firstLine="1418"/>
        <w:jc w:val="both"/>
        <w:rPr>
          <w:rFonts w:ascii="Calibri" w:hAnsi="Calibri"/>
          <w:color w:val="000000"/>
          <w:sz w:val="26"/>
          <w:szCs w:val="26"/>
        </w:rPr>
      </w:pPr>
      <w:r w:rsidRPr="00EC436E">
        <w:rPr>
          <w:rFonts w:ascii="Calibri" w:hAnsi="Calibri"/>
          <w:color w:val="000000"/>
          <w:sz w:val="26"/>
          <w:szCs w:val="26"/>
        </w:rPr>
        <w:t xml:space="preserve">Adicionalmente, </w:t>
      </w:r>
      <w:r>
        <w:rPr>
          <w:rFonts w:ascii="Calibri" w:hAnsi="Calibri"/>
          <w:color w:val="000000"/>
          <w:sz w:val="26"/>
          <w:szCs w:val="26"/>
        </w:rPr>
        <w:t>prevê a possibilidade d</w:t>
      </w:r>
      <w:r w:rsidRPr="00EC436E">
        <w:rPr>
          <w:rFonts w:ascii="Calibri" w:hAnsi="Calibri"/>
          <w:color w:val="000000"/>
          <w:sz w:val="26"/>
          <w:szCs w:val="26"/>
        </w:rPr>
        <w:t xml:space="preserve">a participação de clínicas veterinárias, </w:t>
      </w:r>
      <w:r w:rsidRPr="00E73CB2">
        <w:rPr>
          <w:rFonts w:ascii="Calibri" w:hAnsi="Calibri"/>
          <w:i/>
          <w:color w:val="000000"/>
          <w:sz w:val="26"/>
          <w:szCs w:val="26"/>
        </w:rPr>
        <w:t>pets shops</w:t>
      </w:r>
      <w:r w:rsidRPr="00EC436E">
        <w:rPr>
          <w:rFonts w:ascii="Calibri" w:hAnsi="Calibri"/>
          <w:color w:val="000000"/>
          <w:sz w:val="26"/>
          <w:szCs w:val="26"/>
        </w:rPr>
        <w:t xml:space="preserve"> e estabelecimentos similares na divulgação de informações sobre a febre maculosa</w:t>
      </w:r>
      <w:r>
        <w:rPr>
          <w:rFonts w:ascii="Calibri" w:hAnsi="Calibri"/>
          <w:color w:val="000000"/>
          <w:sz w:val="26"/>
          <w:szCs w:val="26"/>
        </w:rPr>
        <w:t>.</w:t>
      </w:r>
    </w:p>
    <w:p w:rsidR="00E73CB2" w:rsidRPr="00EC436E" w:rsidP="00E73CB2">
      <w:pPr>
        <w:pStyle w:val="BodyText"/>
        <w:spacing w:after="0"/>
        <w:ind w:firstLine="1418"/>
        <w:jc w:val="both"/>
        <w:rPr>
          <w:rFonts w:ascii="Calibri" w:hAnsi="Calibri"/>
          <w:color w:val="000000"/>
          <w:sz w:val="26"/>
          <w:szCs w:val="26"/>
        </w:rPr>
      </w:pPr>
    </w:p>
    <w:p w:rsidR="00E73CB2" w:rsidP="00C74536">
      <w:pPr>
        <w:pStyle w:val="BodyText"/>
        <w:spacing w:after="0"/>
        <w:ind w:firstLine="1418"/>
        <w:jc w:val="both"/>
        <w:rPr>
          <w:rFonts w:ascii="Calibri" w:hAnsi="Calibri"/>
          <w:color w:val="000000"/>
          <w:sz w:val="26"/>
          <w:szCs w:val="26"/>
        </w:rPr>
      </w:pPr>
      <w:r>
        <w:rPr>
          <w:rFonts w:ascii="Calibri" w:hAnsi="Calibri"/>
          <w:color w:val="000000"/>
          <w:sz w:val="26"/>
          <w:szCs w:val="26"/>
        </w:rPr>
        <w:t>Considerando todo o exposto, podemos afirmar que</w:t>
      </w:r>
      <w:r w:rsidRPr="00C74536" w:rsidR="00A36119">
        <w:rPr>
          <w:rFonts w:ascii="Calibri" w:hAnsi="Calibri"/>
          <w:color w:val="000000"/>
          <w:sz w:val="26"/>
          <w:szCs w:val="26"/>
        </w:rPr>
        <w:t xml:space="preserve"> a insti</w:t>
      </w:r>
      <w:r w:rsidR="006A3EBF">
        <w:rPr>
          <w:rFonts w:ascii="Calibri" w:hAnsi="Calibri"/>
          <w:color w:val="000000"/>
          <w:sz w:val="26"/>
          <w:szCs w:val="26"/>
        </w:rPr>
        <w:t>tuição dessas obrigações gerará</w:t>
      </w:r>
      <w:r w:rsidRPr="00C74536" w:rsidR="00A36119">
        <w:rPr>
          <w:rFonts w:ascii="Calibri" w:hAnsi="Calibri"/>
          <w:color w:val="000000"/>
          <w:sz w:val="26"/>
          <w:szCs w:val="26"/>
        </w:rPr>
        <w:t xml:space="preserve"> </w:t>
      </w:r>
      <w:r>
        <w:rPr>
          <w:rFonts w:ascii="Calibri" w:hAnsi="Calibri"/>
          <w:color w:val="000000"/>
          <w:sz w:val="26"/>
          <w:szCs w:val="26"/>
        </w:rPr>
        <w:t xml:space="preserve">despesas, tanto ao erário </w:t>
      </w:r>
      <w:r w:rsidRPr="00C74536" w:rsidR="00A36119">
        <w:rPr>
          <w:rFonts w:ascii="Calibri" w:hAnsi="Calibri"/>
          <w:color w:val="000000"/>
          <w:sz w:val="26"/>
          <w:szCs w:val="26"/>
        </w:rPr>
        <w:t xml:space="preserve">público, quanto para a iniciativa privada, </w:t>
      </w:r>
      <w:r>
        <w:rPr>
          <w:rFonts w:ascii="Calibri" w:hAnsi="Calibri"/>
          <w:color w:val="000000"/>
          <w:sz w:val="26"/>
          <w:szCs w:val="26"/>
        </w:rPr>
        <w:t xml:space="preserve">haja vista que a </w:t>
      </w:r>
      <w:r>
        <w:rPr>
          <w:rFonts w:ascii="Calibri" w:hAnsi="Calibri"/>
          <w:color w:val="000000"/>
          <w:sz w:val="26"/>
          <w:szCs w:val="26"/>
        </w:rPr>
        <w:t>campanha seria executada pelo Poder Executivo, através das secretarias competentes, podendo contar com a parceria de empresas privadas.</w:t>
      </w:r>
    </w:p>
    <w:p w:rsidR="00E73CB2" w:rsidP="00C74536">
      <w:pPr>
        <w:pStyle w:val="BodyText"/>
        <w:spacing w:after="0"/>
        <w:ind w:firstLine="1418"/>
        <w:jc w:val="both"/>
        <w:rPr>
          <w:rFonts w:ascii="Calibri" w:hAnsi="Calibri"/>
          <w:color w:val="000000"/>
          <w:sz w:val="26"/>
          <w:szCs w:val="26"/>
        </w:rPr>
      </w:pPr>
    </w:p>
    <w:p w:rsid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 xml:space="preserve">Em contrapartida, </w:t>
      </w:r>
      <w:r w:rsidR="006A3EBF">
        <w:rPr>
          <w:rFonts w:ascii="Calibri" w:hAnsi="Calibri"/>
          <w:color w:val="000000"/>
          <w:sz w:val="26"/>
          <w:szCs w:val="26"/>
        </w:rPr>
        <w:t xml:space="preserve">vale ressaltar que </w:t>
      </w:r>
      <w:r w:rsidRPr="00C74536">
        <w:rPr>
          <w:rFonts w:ascii="Calibri" w:hAnsi="Calibri"/>
          <w:color w:val="000000"/>
          <w:sz w:val="26"/>
          <w:szCs w:val="26"/>
        </w:rPr>
        <w:t xml:space="preserve">o Supremo Tribunal Federal – STF já julgou que não há afronta no princípio de separação harmônica dos Poderes, matéria de iniciativa parlamentar, que onere os cofres públicos, salvo aqueles dispostos no rol taxativo de iniciativa privativa do Chefe do Poder Executivo. </w:t>
      </w:r>
    </w:p>
    <w:p w:rsidR="00C74536" w:rsidP="00C74536">
      <w:pPr>
        <w:pStyle w:val="BodyText"/>
        <w:spacing w:after="0"/>
        <w:ind w:firstLine="1418"/>
        <w:jc w:val="both"/>
        <w:rPr>
          <w:rFonts w:ascii="Calibri" w:hAnsi="Calibri"/>
          <w:color w:val="000000"/>
          <w:sz w:val="26"/>
          <w:szCs w:val="26"/>
        </w:rPr>
      </w:pPr>
    </w:p>
    <w:p w:rsid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 xml:space="preserve">Ou seja, o parlamentar pode </w:t>
      </w:r>
      <w:r w:rsidRPr="00C74536">
        <w:rPr>
          <w:rFonts w:ascii="Calibri" w:hAnsi="Calibri"/>
          <w:color w:val="000000"/>
          <w:sz w:val="26"/>
          <w:szCs w:val="26"/>
        </w:rPr>
        <w:t>deflagra</w:t>
      </w:r>
      <w:r>
        <w:rPr>
          <w:rFonts w:ascii="Calibri" w:hAnsi="Calibri"/>
          <w:color w:val="000000"/>
          <w:sz w:val="26"/>
          <w:szCs w:val="26"/>
        </w:rPr>
        <w:t>r</w:t>
      </w:r>
      <w:r w:rsidRPr="00C74536">
        <w:rPr>
          <w:rFonts w:ascii="Calibri" w:hAnsi="Calibri"/>
          <w:color w:val="000000"/>
          <w:sz w:val="26"/>
          <w:szCs w:val="26"/>
        </w:rPr>
        <w:t xml:space="preserve"> processo legislativo, de modo concorrente nestes casos, entretanto, ficará a cargo do poder discricionário do Executivo, observando sua programação orçamentária e conveniência, a execução da referida Lei. </w:t>
      </w:r>
    </w:p>
    <w:p w:rsidR="00C74536" w:rsidP="00C74536">
      <w:pPr>
        <w:pStyle w:val="BodyText"/>
        <w:spacing w:after="0"/>
        <w:ind w:firstLine="1418"/>
        <w:jc w:val="both"/>
        <w:rPr>
          <w:rFonts w:ascii="Calibri" w:hAnsi="Calibri"/>
          <w:color w:val="000000"/>
          <w:sz w:val="26"/>
          <w:szCs w:val="26"/>
        </w:rPr>
      </w:pPr>
    </w:p>
    <w:p w:rsidR="00B4491E"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É recomendável nestes casos, que o legislador faça as alterações e previsões necessárias no Plano Plurianual – PPA, a fim de garantir a execução dos projetos que tenham cunho financeiro.</w:t>
      </w:r>
    </w:p>
    <w:p w:rsidR="00C74536" w:rsidP="00C74536">
      <w:pPr>
        <w:pStyle w:val="BodyText"/>
        <w:spacing w:after="0"/>
        <w:ind w:firstLine="1418"/>
        <w:jc w:val="both"/>
        <w:rPr>
          <w:rFonts w:ascii="Calibri" w:hAnsi="Calibri"/>
          <w:color w:val="000000"/>
          <w:sz w:val="26"/>
          <w:szCs w:val="26"/>
        </w:rPr>
      </w:pPr>
    </w:p>
    <w:p w:rsidR="00B4491E" w:rsidRP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Diante de todo exposto, ressalvando que esta comissão se manifesta apenas no quesito financeiro e orçamentário, não se verifica óbices legais para continuidade da proposta, encaminhado o projeto para deliberação pelo Douto Plenário.</w:t>
      </w:r>
    </w:p>
    <w:p w:rsidR="00B4491E">
      <w:pPr>
        <w:pStyle w:val="BodyText"/>
        <w:spacing w:before="240" w:after="240" w:line="240" w:lineRule="auto"/>
        <w:jc w:val="both"/>
        <w:rPr>
          <w:rFonts w:ascii="Calibri" w:eastAsia="Arial" w:hAnsi="Calibri" w:cs="Arial"/>
          <w:iCs/>
          <w:color w:val="000000"/>
          <w:sz w:val="24"/>
          <w:szCs w:val="24"/>
        </w:rPr>
      </w:pPr>
    </w:p>
    <w:p w:rsidR="00B4491E">
      <w:pPr>
        <w:pStyle w:val="BodyText"/>
        <w:spacing w:before="240" w:after="0" w:line="240" w:lineRule="auto"/>
        <w:jc w:val="both"/>
        <w:rPr>
          <w:rFonts w:ascii="Calibri" w:hAnsi="Calibri"/>
          <w:b/>
          <w:color w:val="000000"/>
          <w:sz w:val="24"/>
          <w:szCs w:val="24"/>
        </w:rPr>
      </w:pPr>
      <w:r>
        <w:rPr>
          <w:rFonts w:ascii="Calibri" w:hAnsi="Calibri"/>
          <w:b/>
          <w:color w:val="000000"/>
          <w:sz w:val="24"/>
          <w:szCs w:val="24"/>
        </w:rPr>
        <w:t>III. Substitutivos, Emendas ou subemendas ao Projeto</w:t>
      </w:r>
    </w:p>
    <w:p w:rsidR="00C74536" w:rsidP="00C74536">
      <w:pPr>
        <w:pStyle w:val="BodyText"/>
        <w:spacing w:after="0"/>
        <w:ind w:firstLine="1418"/>
        <w:jc w:val="both"/>
        <w:rPr>
          <w:rFonts w:ascii="Calibri" w:hAnsi="Calibri"/>
          <w:color w:val="000000"/>
          <w:sz w:val="26"/>
          <w:szCs w:val="26"/>
        </w:rPr>
      </w:pPr>
    </w:p>
    <w:p w:rsidR="00C74536" w:rsidP="00C74536">
      <w:pPr>
        <w:pStyle w:val="BodyText"/>
        <w:spacing w:after="0"/>
        <w:ind w:firstLine="1418"/>
        <w:jc w:val="both"/>
        <w:rPr>
          <w:rFonts w:ascii="Calibri" w:hAnsi="Calibri"/>
          <w:color w:val="000000"/>
          <w:sz w:val="26"/>
          <w:szCs w:val="26"/>
        </w:rPr>
      </w:pPr>
    </w:p>
    <w:p w:rsidR="00B4491E" w:rsidRPr="00C74536" w:rsidP="00C74536">
      <w:pPr>
        <w:pStyle w:val="BodyText"/>
        <w:spacing w:after="0"/>
        <w:ind w:firstLine="1418"/>
        <w:jc w:val="both"/>
        <w:rPr>
          <w:rFonts w:ascii="Calibri" w:hAnsi="Calibri"/>
          <w:color w:val="000000"/>
          <w:sz w:val="26"/>
          <w:szCs w:val="26"/>
        </w:rPr>
      </w:pPr>
      <w:r w:rsidRPr="00C86374">
        <w:rPr>
          <w:rFonts w:ascii="Calibri" w:hAnsi="Calibri"/>
          <w:color w:val="000000"/>
          <w:sz w:val="26"/>
          <w:szCs w:val="26"/>
        </w:rPr>
        <w:t>Esta relatoria não possui emendas a propor.</w:t>
      </w:r>
    </w:p>
    <w:p w:rsidR="00B4491E" w:rsidRPr="00C74536" w:rsidP="00C74536">
      <w:pPr>
        <w:pStyle w:val="BodyText"/>
        <w:spacing w:after="0"/>
        <w:ind w:firstLine="1418"/>
        <w:jc w:val="both"/>
        <w:rPr>
          <w:rFonts w:ascii="Calibri" w:hAnsi="Calibri"/>
          <w:color w:val="000000"/>
          <w:sz w:val="26"/>
          <w:szCs w:val="26"/>
        </w:rPr>
      </w:pPr>
    </w:p>
    <w:p w:rsidR="00B4491E">
      <w:pPr>
        <w:pStyle w:val="BodyText"/>
        <w:spacing w:before="240" w:after="0" w:line="240" w:lineRule="auto"/>
        <w:jc w:val="both"/>
        <w:rPr>
          <w:rFonts w:ascii="Calibri" w:hAnsi="Calibri"/>
          <w:b/>
          <w:color w:val="000000"/>
          <w:sz w:val="24"/>
          <w:szCs w:val="24"/>
        </w:rPr>
      </w:pPr>
      <w:r>
        <w:rPr>
          <w:rFonts w:ascii="Calibri" w:hAnsi="Calibri"/>
          <w:b/>
          <w:color w:val="000000"/>
          <w:sz w:val="24"/>
          <w:szCs w:val="24"/>
        </w:rPr>
        <w:t>IV. Decisão d</w:t>
      </w:r>
      <w:r w:rsidR="00C74536">
        <w:rPr>
          <w:rFonts w:ascii="Calibri" w:hAnsi="Calibri"/>
          <w:b/>
          <w:color w:val="000000"/>
          <w:sz w:val="24"/>
          <w:szCs w:val="24"/>
        </w:rPr>
        <w:t>o</w:t>
      </w:r>
      <w:r>
        <w:rPr>
          <w:rFonts w:ascii="Calibri" w:hAnsi="Calibri"/>
          <w:b/>
          <w:color w:val="000000"/>
          <w:sz w:val="24"/>
          <w:szCs w:val="24"/>
        </w:rPr>
        <w:t xml:space="preserve"> Relator</w:t>
      </w:r>
    </w:p>
    <w:p w:rsidR="00C74536">
      <w:pPr>
        <w:pStyle w:val="BodyText"/>
        <w:spacing w:before="240" w:after="0" w:line="240" w:lineRule="auto"/>
        <w:jc w:val="both"/>
        <w:rPr>
          <w:rFonts w:ascii="Calibri" w:hAnsi="Calibri"/>
          <w:color w:val="000000"/>
          <w:sz w:val="24"/>
          <w:szCs w:val="24"/>
        </w:rPr>
      </w:pPr>
      <w:r>
        <w:rPr>
          <w:rFonts w:ascii="Calibri" w:hAnsi="Calibri"/>
          <w:color w:val="000000"/>
          <w:sz w:val="24"/>
          <w:szCs w:val="24"/>
        </w:rPr>
        <w:tab/>
      </w:r>
    </w:p>
    <w:p w:rsidR="00B4491E" w:rsidRP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 xml:space="preserve">Portanto, </w:t>
      </w:r>
      <w:r w:rsidRPr="00C74536">
        <w:rPr>
          <w:rFonts w:ascii="Calibri" w:hAnsi="Calibri"/>
          <w:color w:val="000000"/>
          <w:sz w:val="26"/>
          <w:szCs w:val="26"/>
        </w:rPr>
        <w:t>esta</w:t>
      </w:r>
      <w:r w:rsidRPr="00C74536">
        <w:rPr>
          <w:rFonts w:ascii="Calibri" w:hAnsi="Calibri"/>
          <w:color w:val="000000"/>
          <w:sz w:val="26"/>
          <w:szCs w:val="26"/>
        </w:rPr>
        <w:t xml:space="preserve"> Relatoria considera que a presente propositura não apresenta vícios de constitucionalidade, recebendo parecer </w:t>
      </w:r>
      <w:bookmarkStart w:id="1" w:name="_GoBack"/>
      <w:r w:rsidRPr="004874E8">
        <w:rPr>
          <w:rFonts w:ascii="Calibri" w:hAnsi="Calibri"/>
          <w:b/>
          <w:color w:val="000000"/>
          <w:sz w:val="26"/>
          <w:szCs w:val="26"/>
        </w:rPr>
        <w:t>FAVORÁVEL</w:t>
      </w:r>
      <w:bookmarkEnd w:id="1"/>
      <w:r w:rsidRPr="00C74536">
        <w:rPr>
          <w:rFonts w:ascii="Calibri" w:hAnsi="Calibri"/>
          <w:color w:val="000000"/>
          <w:sz w:val="26"/>
          <w:szCs w:val="26"/>
        </w:rPr>
        <w:t>.</w:t>
      </w:r>
    </w:p>
    <w:p w:rsidR="00B4491E" w:rsidRPr="00C74536" w:rsidP="00C74536">
      <w:pPr>
        <w:pStyle w:val="BodyText"/>
        <w:spacing w:after="0"/>
        <w:ind w:firstLine="1418"/>
        <w:jc w:val="both"/>
        <w:rPr>
          <w:rFonts w:ascii="Calibri" w:hAnsi="Calibri"/>
          <w:color w:val="000000"/>
          <w:sz w:val="26"/>
          <w:szCs w:val="26"/>
        </w:rPr>
      </w:pPr>
    </w:p>
    <w:p w:rsidR="00B4491E" w:rsidRPr="00C74536" w:rsidP="00C74536">
      <w:pPr>
        <w:pStyle w:val="BodyText"/>
        <w:spacing w:after="0"/>
        <w:jc w:val="center"/>
        <w:rPr>
          <w:rFonts w:ascii="Calibri" w:hAnsi="Calibri"/>
          <w:color w:val="000000"/>
          <w:sz w:val="26"/>
          <w:szCs w:val="26"/>
        </w:rPr>
      </w:pPr>
      <w:r w:rsidRPr="00C74536">
        <w:rPr>
          <w:rFonts w:ascii="Calibri" w:hAnsi="Calibri"/>
          <w:color w:val="000000"/>
          <w:sz w:val="26"/>
          <w:szCs w:val="26"/>
        </w:rPr>
        <w:t xml:space="preserve">Sala das Comissões, em </w:t>
      </w:r>
      <w:r w:rsidR="00E73CB2">
        <w:rPr>
          <w:rFonts w:ascii="Calibri" w:hAnsi="Calibri"/>
          <w:color w:val="000000"/>
          <w:sz w:val="26"/>
          <w:szCs w:val="26"/>
        </w:rPr>
        <w:t>2</w:t>
      </w:r>
      <w:r w:rsidR="00A01763">
        <w:rPr>
          <w:rFonts w:ascii="Calibri" w:hAnsi="Calibri"/>
          <w:color w:val="000000"/>
          <w:sz w:val="26"/>
          <w:szCs w:val="26"/>
        </w:rPr>
        <w:t>2</w:t>
      </w:r>
      <w:r w:rsidR="00E73CB2">
        <w:rPr>
          <w:rFonts w:ascii="Calibri" w:hAnsi="Calibri"/>
          <w:color w:val="000000"/>
          <w:sz w:val="26"/>
          <w:szCs w:val="26"/>
        </w:rPr>
        <w:t xml:space="preserve"> de novembro de</w:t>
      </w:r>
      <w:r w:rsidRPr="00C74536">
        <w:rPr>
          <w:rFonts w:ascii="Calibri" w:hAnsi="Calibri"/>
          <w:color w:val="000000"/>
          <w:sz w:val="26"/>
          <w:szCs w:val="26"/>
        </w:rPr>
        <w:t xml:space="preserve"> 2023.</w:t>
      </w:r>
    </w:p>
    <w:p w:rsidR="00B4491E" w:rsidRPr="00C74536" w:rsidP="00C74536">
      <w:pPr>
        <w:pStyle w:val="BodyText"/>
        <w:spacing w:after="0"/>
        <w:ind w:firstLine="1418"/>
        <w:jc w:val="center"/>
        <w:rPr>
          <w:rFonts w:ascii="Calibri" w:hAnsi="Calibri"/>
          <w:color w:val="000000"/>
          <w:sz w:val="26"/>
          <w:szCs w:val="26"/>
        </w:rPr>
      </w:pPr>
    </w:p>
    <w:p w:rsidR="00B4491E" w:rsidRPr="00C74536" w:rsidP="00C74536">
      <w:pPr>
        <w:pStyle w:val="BodyText"/>
        <w:spacing w:after="0"/>
        <w:ind w:firstLine="1418"/>
        <w:jc w:val="center"/>
        <w:rPr>
          <w:rFonts w:ascii="Calibri" w:hAnsi="Calibri"/>
          <w:color w:val="000000"/>
          <w:sz w:val="26"/>
          <w:szCs w:val="26"/>
        </w:rPr>
      </w:pPr>
    </w:p>
    <w:p w:rsidR="00B4491E">
      <w:pPr>
        <w:pStyle w:val="BodyText"/>
        <w:spacing w:before="238" w:after="0" w:line="240" w:lineRule="auto"/>
        <w:contextualSpacing/>
        <w:jc w:val="center"/>
        <w:rPr>
          <w:rFonts w:ascii="Calibri" w:hAnsi="Calibri"/>
          <w:b/>
          <w:color w:val="000000"/>
          <w:sz w:val="24"/>
          <w:szCs w:val="24"/>
        </w:rPr>
      </w:pPr>
    </w:p>
    <w:p w:rsidR="00B4491E">
      <w:pPr>
        <w:pStyle w:val="BodyText"/>
        <w:spacing w:before="238" w:after="0" w:line="240" w:lineRule="auto"/>
        <w:contextualSpacing/>
        <w:jc w:val="center"/>
        <w:rPr>
          <w:rFonts w:ascii="Calibri" w:hAnsi="Calibri"/>
          <w:b/>
          <w:color w:val="000000"/>
          <w:sz w:val="24"/>
          <w:szCs w:val="24"/>
        </w:rPr>
      </w:pPr>
      <w:r>
        <w:rPr>
          <w:rFonts w:ascii="Calibri" w:hAnsi="Calibri"/>
          <w:b/>
          <w:color w:val="000000"/>
          <w:sz w:val="24"/>
          <w:szCs w:val="24"/>
        </w:rPr>
        <w:t>Vereador João Victor Coutinho Gasparini</w:t>
      </w:r>
    </w:p>
    <w:p w:rsidR="00B4491E">
      <w:pPr>
        <w:pStyle w:val="BodyText"/>
        <w:spacing w:before="238" w:after="0" w:line="240" w:lineRule="auto"/>
        <w:contextualSpacing/>
        <w:jc w:val="center"/>
        <w:rPr>
          <w:rFonts w:ascii="Calibri" w:hAnsi="Calibri"/>
          <w:b/>
          <w:color w:val="000000"/>
          <w:sz w:val="24"/>
          <w:szCs w:val="24"/>
        </w:rPr>
      </w:pPr>
      <w:r>
        <w:rPr>
          <w:rFonts w:ascii="Calibri" w:hAnsi="Calibri"/>
          <w:b/>
          <w:color w:val="000000"/>
          <w:sz w:val="24"/>
          <w:szCs w:val="24"/>
        </w:rPr>
        <w:t>Relator</w:t>
      </w: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both"/>
        <w:rPr>
          <w:sz w:val="24"/>
          <w:szCs w:val="24"/>
        </w:rPr>
      </w:pPr>
    </w:p>
    <w:p w:rsidR="00B4491E">
      <w:pPr>
        <w:pStyle w:val="BodyText"/>
        <w:spacing w:line="240" w:lineRule="auto"/>
        <w:jc w:val="center"/>
        <w:rPr>
          <w:rFonts w:ascii="Calibri" w:hAnsi="Calibri"/>
          <w:b/>
          <w:color w:val="000000"/>
          <w:sz w:val="26"/>
          <w:szCs w:val="26"/>
        </w:rPr>
      </w:pPr>
      <w:r>
        <w:rPr>
          <w:rFonts w:ascii="Calibri" w:hAnsi="Calibri"/>
          <w:b/>
          <w:color w:val="000000"/>
          <w:sz w:val="26"/>
          <w:szCs w:val="26"/>
        </w:rPr>
        <w:t>PARECER  DA</w:t>
      </w:r>
      <w:r>
        <w:rPr>
          <w:rFonts w:ascii="Calibri" w:hAnsi="Calibri"/>
          <w:b/>
          <w:color w:val="000000"/>
          <w:sz w:val="26"/>
          <w:szCs w:val="26"/>
        </w:rPr>
        <w:t xml:space="preserve"> COMISSÃO DE FINANÇAS E ORÇAMENTO.</w:t>
      </w:r>
    </w:p>
    <w:p w:rsidR="00C74536">
      <w:pPr>
        <w:pStyle w:val="BodyText"/>
        <w:spacing w:before="240" w:after="0" w:line="240" w:lineRule="auto"/>
        <w:jc w:val="both"/>
        <w:rPr>
          <w:rFonts w:ascii="Calibri" w:hAnsi="Calibri"/>
          <w:color w:val="000000"/>
          <w:sz w:val="26"/>
        </w:rPr>
      </w:pPr>
    </w:p>
    <w:p w:rsidR="00B4491E" w:rsidRPr="00C74536" w:rsidP="00C74536">
      <w:pPr>
        <w:pStyle w:val="BodyText"/>
        <w:spacing w:after="0"/>
        <w:ind w:firstLine="1418"/>
        <w:jc w:val="both"/>
        <w:rPr>
          <w:rFonts w:ascii="Calibri" w:hAnsi="Calibri"/>
          <w:color w:val="000000"/>
          <w:sz w:val="26"/>
          <w:szCs w:val="26"/>
        </w:rPr>
      </w:pPr>
      <w:r w:rsidRPr="00C74536">
        <w:rPr>
          <w:rFonts w:ascii="Calibri" w:hAnsi="Calibri"/>
          <w:color w:val="000000"/>
          <w:sz w:val="26"/>
          <w:szCs w:val="26"/>
        </w:rPr>
        <w:t>Seguindo o Voto exarado pel</w:t>
      </w:r>
      <w:r w:rsidRPr="00C74536" w:rsidR="00C74536">
        <w:rPr>
          <w:rFonts w:ascii="Calibri" w:hAnsi="Calibri"/>
          <w:color w:val="000000"/>
          <w:sz w:val="26"/>
          <w:szCs w:val="26"/>
        </w:rPr>
        <w:t>o</w:t>
      </w:r>
      <w:r w:rsidRPr="00C74536">
        <w:rPr>
          <w:rFonts w:ascii="Calibri" w:hAnsi="Calibri"/>
          <w:color w:val="000000"/>
          <w:sz w:val="26"/>
          <w:szCs w:val="26"/>
        </w:rPr>
        <w:t xml:space="preserve"> Relator e conforme determina o artigo 37 da Resolução n.º 276 de 09 de novembro de 2.010, a Comissão de Finanças e Orçamento, formaliza o presente </w:t>
      </w:r>
      <w:r w:rsidRPr="00C74536">
        <w:rPr>
          <w:rFonts w:ascii="Calibri" w:hAnsi="Calibri"/>
          <w:b/>
          <w:color w:val="000000"/>
          <w:sz w:val="26"/>
          <w:szCs w:val="26"/>
        </w:rPr>
        <w:t>PARECER FAVORÁVEL</w:t>
      </w:r>
      <w:r w:rsidRPr="00C74536">
        <w:rPr>
          <w:rFonts w:ascii="Calibri" w:hAnsi="Calibri"/>
          <w:color w:val="000000"/>
          <w:sz w:val="26"/>
          <w:szCs w:val="26"/>
        </w:rPr>
        <w:t>.</w:t>
      </w:r>
    </w:p>
    <w:p w:rsidR="00C74536" w:rsidRPr="00C74536" w:rsidP="00C74536">
      <w:pPr>
        <w:pStyle w:val="BodyText"/>
        <w:spacing w:after="0"/>
        <w:ind w:firstLine="1418"/>
        <w:jc w:val="both"/>
        <w:rPr>
          <w:rFonts w:ascii="Calibri" w:hAnsi="Calibri"/>
          <w:color w:val="000000"/>
          <w:sz w:val="26"/>
          <w:szCs w:val="26"/>
        </w:rPr>
      </w:pPr>
    </w:p>
    <w:p w:rsidR="00C74536">
      <w:pPr>
        <w:pStyle w:val="BodyText"/>
        <w:spacing w:before="240" w:after="0" w:line="240" w:lineRule="auto"/>
        <w:jc w:val="center"/>
        <w:rPr>
          <w:rFonts w:ascii="Calibri" w:hAnsi="Calibri"/>
          <w:color w:val="000000"/>
          <w:sz w:val="26"/>
          <w:shd w:val="clear" w:color="auto" w:fill="FFFFFF"/>
        </w:rPr>
      </w:pPr>
    </w:p>
    <w:p w:rsidR="00E73CB2">
      <w:pPr>
        <w:pStyle w:val="BodyText"/>
        <w:spacing w:before="240" w:after="0" w:line="240" w:lineRule="auto"/>
        <w:jc w:val="center"/>
        <w:rPr>
          <w:rFonts w:ascii="Calibri" w:hAnsi="Calibri"/>
          <w:color w:val="000000"/>
          <w:sz w:val="26"/>
          <w:shd w:val="clear" w:color="auto" w:fill="FFFFFF"/>
        </w:rPr>
      </w:pPr>
    </w:p>
    <w:p w:rsidR="00E73CB2">
      <w:pPr>
        <w:pStyle w:val="BodyText"/>
        <w:spacing w:before="240" w:after="0" w:line="240" w:lineRule="auto"/>
        <w:jc w:val="center"/>
        <w:rPr>
          <w:rFonts w:ascii="Calibri" w:hAnsi="Calibri"/>
          <w:color w:val="000000"/>
          <w:sz w:val="26"/>
          <w:shd w:val="clear" w:color="auto" w:fill="FFFFFF"/>
        </w:rPr>
      </w:pPr>
    </w:p>
    <w:p w:rsidR="00E73CB2">
      <w:pPr>
        <w:pStyle w:val="BodyText"/>
        <w:spacing w:before="240" w:after="0" w:line="240" w:lineRule="auto"/>
        <w:jc w:val="center"/>
        <w:rPr>
          <w:rFonts w:ascii="Calibri" w:hAnsi="Calibri"/>
          <w:color w:val="000000"/>
          <w:sz w:val="26"/>
          <w:shd w:val="clear" w:color="auto" w:fill="FFFFFF"/>
        </w:rPr>
      </w:pPr>
    </w:p>
    <w:p w:rsidR="00C74536" w:rsidRPr="00C74536" w:rsidP="00C74536">
      <w:pPr>
        <w:pStyle w:val="BodyText"/>
        <w:spacing w:after="0"/>
        <w:jc w:val="center"/>
        <w:rPr>
          <w:rFonts w:ascii="Calibri" w:hAnsi="Calibri"/>
          <w:color w:val="000000"/>
          <w:sz w:val="26"/>
          <w:szCs w:val="26"/>
        </w:rPr>
      </w:pPr>
      <w:r w:rsidRPr="00C74536">
        <w:rPr>
          <w:rFonts w:ascii="Calibri" w:hAnsi="Calibri"/>
          <w:color w:val="000000"/>
          <w:sz w:val="26"/>
          <w:szCs w:val="26"/>
        </w:rPr>
        <w:t xml:space="preserve">Sala das Comissões, em </w:t>
      </w:r>
      <w:r w:rsidR="00760200">
        <w:rPr>
          <w:rFonts w:ascii="Calibri" w:hAnsi="Calibri"/>
          <w:color w:val="000000"/>
          <w:sz w:val="26"/>
          <w:szCs w:val="26"/>
        </w:rPr>
        <w:t>22</w:t>
      </w:r>
      <w:r w:rsidR="00E73CB2">
        <w:rPr>
          <w:rFonts w:ascii="Calibri" w:hAnsi="Calibri"/>
          <w:color w:val="000000"/>
          <w:sz w:val="26"/>
          <w:szCs w:val="26"/>
        </w:rPr>
        <w:t xml:space="preserve"> de novembro</w:t>
      </w:r>
      <w:r w:rsidRPr="00C74536">
        <w:rPr>
          <w:rFonts w:ascii="Calibri" w:hAnsi="Calibri"/>
          <w:color w:val="000000"/>
          <w:sz w:val="26"/>
          <w:szCs w:val="26"/>
        </w:rPr>
        <w:t xml:space="preserve"> de 2023.</w:t>
      </w:r>
    </w:p>
    <w:p w:rsidR="00B4491E">
      <w:pPr>
        <w:pStyle w:val="BodyText"/>
        <w:spacing w:line="240" w:lineRule="auto"/>
      </w:pPr>
    </w:p>
    <w:p w:rsidR="00C74536">
      <w:pPr>
        <w:pStyle w:val="BodyText"/>
        <w:spacing w:line="240" w:lineRule="auto"/>
      </w:pPr>
    </w:p>
    <w:p w:rsidR="00B4491E">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B4491E">
      <w:pPr>
        <w:jc w:val="center"/>
      </w:pPr>
    </w:p>
    <w:p w:rsidR="00B4491E">
      <w:pPr>
        <w:jc w:val="center"/>
      </w:pPr>
    </w:p>
    <w:p w:rsidR="00B4491E">
      <w:pPr>
        <w:jc w:val="center"/>
      </w:pPr>
    </w:p>
    <w:p w:rsidR="00B4491E">
      <w:pPr>
        <w:jc w:val="center"/>
      </w:pP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GASPARINI</w:t>
      </w: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 Presidente </w:t>
      </w:r>
    </w:p>
    <w:p w:rsidR="00B4491E">
      <w:pPr>
        <w:jc w:val="center"/>
      </w:pPr>
    </w:p>
    <w:p w:rsidR="00B4491E">
      <w:pPr>
        <w:jc w:val="center"/>
      </w:pPr>
    </w:p>
    <w:p w:rsidR="00B4491E">
      <w:pPr>
        <w:jc w:val="center"/>
      </w:pPr>
    </w:p>
    <w:p w:rsidR="00B4491E">
      <w:pPr>
        <w:jc w:val="center"/>
      </w:pP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MARA CRISTINA CHOQUETTA</w:t>
      </w: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Vice-Presidente/Relatora</w:t>
      </w:r>
    </w:p>
    <w:p w:rsidR="00B4491E">
      <w:pPr>
        <w:jc w:val="center"/>
      </w:pPr>
    </w:p>
    <w:p w:rsidR="00B4491E">
      <w:pPr>
        <w:jc w:val="center"/>
      </w:pPr>
    </w:p>
    <w:p w:rsidR="00B4491E">
      <w:pPr>
        <w:jc w:val="center"/>
      </w:pPr>
    </w:p>
    <w:p w:rsidR="00B4491E">
      <w:pPr>
        <w:jc w:val="center"/>
      </w:pPr>
    </w:p>
    <w:p w:rsidR="00B4491E">
      <w:pPr>
        <w:jc w:val="center"/>
      </w:pP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LUZIA CRISTINA CORTES NOGUEIRA</w:t>
      </w:r>
    </w:p>
    <w:p w:rsidR="00B4491E">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sectPr>
      <w:headerReference w:type="default" r:id="rId5"/>
      <w:footerReference w:type="default" r:id="rId6"/>
      <w:pgSz w:w="11906" w:h="16838"/>
      <w:pgMar w:top="2268" w:right="1321" w:bottom="1134" w:left="1418" w:header="720" w:footer="720" w:gutter="0"/>
      <w:pgNumType w:start="1"/>
      <w:cols w:space="708"/>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1E">
    <w:pPr>
      <w:pStyle w:val="Rodap1"/>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1E">
    <w:pPr>
      <w:pStyle w:val="Cabealho1"/>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8882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rsidR="00B4491E">
                          <w:pPr>
                            <w:pStyle w:val="Cabealho1"/>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B4491E">
                    <w:pPr>
                      <w:pStyle w:val="Cabealho1"/>
                      <w:rPr>
                        <w:color w:val="000000"/>
                      </w:rPr>
                    </w:pPr>
                  </w:p>
                </w:txbxContent>
              </v:textbox>
              <w10:wrap type="square"/>
            </v:rect>
          </w:pict>
        </mc:Fallback>
      </mc:AlternateContent>
    </w:r>
    <w:r>
      <w:rPr>
        <w:rFonts w:ascii="Bookman Old Style" w:hAnsi="Bookman Old Style"/>
        <w:b/>
        <w:sz w:val="34"/>
      </w:rPr>
      <w:t>CÂMARA MUNICIPAL DE MOGI MIRIM</w:t>
    </w:r>
  </w:p>
  <w:p w:rsidR="00B4491E">
    <w:pPr>
      <w:pStyle w:val="Cabealho1"/>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1E"/>
    <w:rsid w:val="00003738"/>
    <w:rsid w:val="00110506"/>
    <w:rsid w:val="002802FC"/>
    <w:rsid w:val="004874E8"/>
    <w:rsid w:val="005518BC"/>
    <w:rsid w:val="005A0858"/>
    <w:rsid w:val="006143F3"/>
    <w:rsid w:val="006A3EBF"/>
    <w:rsid w:val="006D032A"/>
    <w:rsid w:val="00760200"/>
    <w:rsid w:val="009120B5"/>
    <w:rsid w:val="00960DD8"/>
    <w:rsid w:val="009B5EA3"/>
    <w:rsid w:val="00A01763"/>
    <w:rsid w:val="00A36119"/>
    <w:rsid w:val="00AE66A7"/>
    <w:rsid w:val="00B4491E"/>
    <w:rsid w:val="00C74536"/>
    <w:rsid w:val="00C86374"/>
    <w:rsid w:val="00E73CB2"/>
    <w:rsid w:val="00EC436E"/>
    <w:rsid w:val="00F338E0"/>
    <w:rsid w:val="00FE2F3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C2FC640-B3AB-4D69-AEAA-43046F9B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pPr>
      <w:tabs>
        <w:tab w:val="center" w:pos="4419"/>
        <w:tab w:val="right" w:pos="8838"/>
      </w:tabs>
    </w:pPr>
  </w:style>
  <w:style w:type="paragraph" w:customStyle="1" w:styleId="Rodap1">
    <w:name w:val="Rodapé1"/>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07DA-6DE5-4B38-B523-C3B77C6A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936</Words>
  <Characters>5058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JV Gasparini</cp:lastModifiedBy>
  <cp:revision>10</cp:revision>
  <cp:lastPrinted>2023-10-05T14:35:00Z</cp:lastPrinted>
  <dcterms:created xsi:type="dcterms:W3CDTF">2023-11-22T18:28:00Z</dcterms:created>
  <dcterms:modified xsi:type="dcterms:W3CDTF">2023-11-22T19:36:00Z</dcterms:modified>
  <dc:language>pt-BR</dc:language>
</cp:coreProperties>
</file>