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left"/>
        <w:rPr>
          <w:rFonts w:ascii="Bookman Old Style" w:hAnsi="Bookman Old Style"/>
          <w:b/>
          <w:sz w:val="24"/>
          <w:u w:val="single"/>
        </w:rPr>
      </w:pPr>
    </w:p>
    <w:p>
      <w:pPr>
        <w:jc w:val="left"/>
        <w:rPr>
          <w:rFonts w:ascii="Bookman Old Style" w:hAnsi="Bookman Old Style"/>
          <w:b/>
          <w:sz w:val="24"/>
          <w:u w:val="single"/>
        </w:rPr>
      </w:pPr>
    </w:p>
    <w:p>
      <w:pPr>
        <w:jc w:val="left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>RELATÓRIO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</w:pPr>
      <w:r>
        <w:rPr>
          <w:rFonts w:ascii="Bookman Old Style" w:hAnsi="Bookman Old Style"/>
          <w:b/>
          <w:sz w:val="24"/>
          <w:u w:val="single"/>
        </w:rPr>
        <w:t>PROCESSO Nº 31 DE 2023.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</w:r>
    </w:p>
    <w:p>
      <w:pPr>
        <w:ind w:left="0" w:right="0" w:firstLine="708"/>
        <w:jc w:val="both"/>
        <w:rPr>
          <w:rFonts w:ascii="Bookman Old Style" w:hAnsi="Bookman Old Style"/>
          <w:sz w:val="24"/>
        </w:rPr>
      </w:pP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Em estrita observância às determinações normativas insculpidas nos artigos 35 e 37 harmonizados com as disposições do artigo 45 da Resolução 276, datada de 09 de novembro de 2010, que regula o Regimento Interno desta respeitável Câmara Municipal, é com elevada responsabilidade que as Comissões Permanentes de Justiça e Redação e Comissão de Finanças e Orçamento se unem na nobre missão de apresentar o presente Relatório em relação ao Projeto de Lei Complementar nº 02 de 2023, cuja paternidade legislativa é atribuída ao Excelentíssimo Vereador Luís Roberto Tavares.  </w:t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É imperioso salientar que o Vereador Marcos Paulo Cegatti, ilustre ocupante da presidência da Comissão de Justiça e Redação, ostenta a relevante função de relator neste contexto, sendo-lhe confiada a missão de examinar minuciosamente o conteúdo do presente Relatório</w:t>
      </w:r>
    </w:p>
    <w:p>
      <w:pPr>
        <w:ind w:left="0" w:right="0" w:firstLine="708"/>
        <w:jc w:val="both"/>
        <w:rPr>
          <w:rFonts w:ascii="Bookman Old Style" w:hAnsi="Bookman Old Style"/>
          <w:sz w:val="24"/>
          <w:szCs w:val="24"/>
        </w:rPr>
      </w:pPr>
    </w:p>
    <w:p>
      <w:pPr>
        <w:ind w:left="0" w:right="0" w:firstLine="708"/>
        <w:jc w:val="both"/>
        <w:rPr>
          <w:rFonts w:ascii="Bookman Old Style" w:hAnsi="Bookman Old Style"/>
          <w:b/>
          <w:sz w:val="24"/>
          <w:szCs w:val="24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I. Exposição da Matéria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O presente Projeto de Lei Complementar propõe a instituição de uma homenagem destinada aos Servidores Públicos Municipais Aposentados, visando reconhecer e celebrar a dedicada, íntegra, competente e assídua contribuição destes profissionais durante o exercício de suas funções no serviço público.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A relevância do corpo de servidores públicos é incontestável, sendo este responsável pelo funcionamento diário de qualquer nação e pelo cumprimento das responsabilidades governamentais. É imprescindível que estejamos cientes da vital importância desses servidores para o adequado desenvolvimento e operacionalização do Município.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A homenagem proposta busca expressar gratidão e reconhecimento aos homens e mulheres que escolheram o serviço público como missão de vida, dedicando-se diariamente, não apenas com seu labor, mas também compartilhando seus conhecimentos técnicos e experiências profissionais para o cumprimento da nobre tarefa de prestar serviços à sociedade.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sz w:val="24"/>
          <w:szCs w:val="24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Hoje e em todos os dias, é imperativo reconhecer o valor imenso daqueles que contribuíram significativamente para a administração pública, enaltecendo a honra de ter compartilhado experiências laborais com esses servidores exemplares da nossa cidade.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O Município deve uma imensa gratidão a esta valiosa classe trabalhadora que, ao longo do tempo, dedicou-se incansavelmente em prol de nossos munícipes. Portanto, é justificável e meritório que aqueles que se destacaram por sua competência e dedicação ao exercerem suas atividades recebam o merecido reconhecimento através desta singela homenagem ao encerrarem suas atividades profissionais.</w:t>
      </w:r>
    </w:p>
    <w:p>
      <w:pPr>
        <w:pStyle w:val="BodyText"/>
        <w:bidi w:val="0"/>
        <w:spacing w:before="240" w:after="0" w:line="240" w:lineRule="auto"/>
        <w:jc w:val="both"/>
        <w:rPr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II. Do mérito e conclusões do Relator</w:t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Inicialmente, cumpre salientar que a concessão de títulos, diplomas, medalhas, selos ou honrarias é uma prática comum no contexto da Administração Pública federal, estadual e municipal. Tal procedimento tem por escopo conferir distinções a indivíduos, naturais ou jurídicos, cujas atividades tenham se destacado, contribuindo de forma relevante para o progresso local ou para o bem-estar coletivo. Este tema, por sua natureza, é de interesse intrinsecamente local, conforme preconiza o inciso I do artigo 30 da Constituição Federal de 1988, configurando-se, assim, como uma competência legislativa municipal, nos termos do inciso XVII do artigo 32 da Lei Orgânica Municipal, em conjunto com a Lei Complementar municipal nº 69/1998, que regula a “concessão de títulos honoríficos, prevista na Lei Orgânica Municipal”.</w:t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Quanto à iniciativa legislativa, é relevante ressaltar que todas as normas cujas matérias a Lei Orgânica Municipal não reserva expressa ou exclusivamente ao Prefeito Municipal ou à Mesa Diretora dos trabalhos legislativos são de iniciativa dos membros do Poder Legislativo municipal.</w:t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Portanto, em virtude da ausência de reserva constitucional e organizacional específica sobre esta matéria - isto é, a concessão de diplomas ou outras formas de homenagem a indivíduos, servidores ou não, que se destacaram por serviços relevantes ao Município ou pela atuação exemplar na vida pública e privada - em favor do chefe do Poder Executivo, da Mesa Diretora do Poder Legislativo ou das comissões legislativas temáticas, torna-se possível o início do processo legislativo destas normas municipais por qualquer membro do Legislativo Municipal.</w:t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 xml:space="preserve">Após uma minuciosa análise da matéria em questão, verificamos que os requisitos de constitucionalidade foram integralmente atendidos, estando em conformidade com os preceitos legais necessários para sua continuidade. </w:t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Quanto ao aspecto constitucional, legal e regimental, não identificamos quaisquer conflitos com o ordenamento jurídico vigente, não havendo indícios de inconstitucionalidade.</w:t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Do ponto de vista gramatical e lógico, observamos que as normas ortográficas e a técnica legislativa foram rigorosamente respeitadas, não havendo quaisquer apontamentos nesse sentido. Quanto às questões financeiras, salientamos que as despesas decorrentes da execução deste Decreto serão suportadas pelas dotações previamente alocadas à Câmara Municipal de Mogi Mirim, conforme autorização do ordenador de despesas, conforme preconiza a Resolução n° 320/2021. Portanto, não há entraves a serem vislumbrados nesse aspecto.</w:t>
        <w:tab/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Consequentemente, não se evidenciam irregularidades na propositura atualmente sob análise, o que implica a ausência de obstáculos que possam impedir a continuidade da proposta apresentada pelo distinto vereador.</w:t>
      </w:r>
    </w:p>
    <w:p>
      <w:pPr>
        <w:pStyle w:val="BodyText"/>
        <w:jc w:val="both"/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III. Substitutivos, Emendas ou subemendas ao Projeto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IV. Decisão do Relator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sz w:val="24"/>
          <w:szCs w:val="24"/>
        </w:rPr>
      </w:pPr>
      <w:r>
        <w:rPr>
          <w:rFonts w:ascii="Calibri" w:eastAsia="Arial" w:hAnsi="Calibri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Dessa forma, esta Relatoria, após meticulosa análise, chega à conclusão de que a presente propositura não revela quaisquer vícios de inconstitucionalidade que possam prejudicar a sua tramitação. Baseado nessa análise minuciosa, é com satisfação que este parecer é apresentado como </w:t>
      </w:r>
      <w:r>
        <w:rPr>
          <w:rFonts w:ascii="Bookman Old Style" w:eastAsia="Arial" w:hAnsi="Bookman Old Style" w:cs="Arial"/>
          <w:b/>
          <w:bCs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FAVORÁVEL</w:t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 à aprovação do Projeto de Lei em questão. A ausência de impedimentos de ordem constitucional e legal confirma a sua plena adequação ao ordenamento jurídico e às políticas públicas do município. Portanto, a recomendação é de que este Plenário aprecie a presente propositura.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Marcos Paulo Cegatti</w:t>
      </w:r>
    </w:p>
    <w:p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  <w:r>
        <w:rPr>
          <w:rFonts w:ascii="Bookman Old Style" w:eastAsia="Arial" w:hAnsi="Bookman Old Style" w:cs="Arial"/>
          <w:i/>
          <w:iCs/>
          <w:sz w:val="24"/>
          <w:szCs w:val="24"/>
        </w:rPr>
        <w:t>Presidente CJR/Relator</w:t>
      </w:r>
    </w:p>
    <w:p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iCs/>
          <w:sz w:val="24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PARECER DA COMISSÃO DE JUSTIÇA E REDAÇÃO E COMISSÃO DE FINANÇAS E ORÇAMENTO REFERENTE AO PROJETO DE LEI COMPLEMENTAR Nº 0</w:t>
      </w: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2</w:t>
      </w: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 xml:space="preserve"> DE 2023 DE AUTORIA DO VEREADOR LUÍS ROBERTO TAVARES. </w:t>
      </w:r>
    </w:p>
    <w:p>
      <w:pPr>
        <w:pStyle w:val="BodyText"/>
        <w:spacing w:line="240" w:lineRule="auto"/>
        <w:jc w:val="left"/>
        <w:rPr>
          <w:b/>
          <w:i w:val="0"/>
          <w:caps w:val="0"/>
          <w:smallCaps w:val="0"/>
          <w:strike w:val="0"/>
          <w:dstrike w:val="0"/>
          <w:color w:val="000000"/>
          <w:u w:val="singl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Calibri" w:hAnsi="Calibri"/>
          <w:b w:val="0"/>
          <w:i w:val="0"/>
          <w:iCs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ab/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Em estrita consonância com o voto proferido pelo eminente Relator e no fiel cumprimento das determinações normativas consagradas nos artigos 35, e 37, aliados às disposições contidas no artigo 45 da Resolução 276, datada de 09 de novembro de 2010, as Comissões Permanentes de Justiça e Redação e a Comissão de Finanças e Orçamento conjuntamente e de forma unânime, formalizam o presente Parecer, no qual se manifestam de modo </w:t>
      </w:r>
      <w:r>
        <w:rPr>
          <w:rFonts w:ascii="Bookman Old Style" w:hAnsi="Bookman Old Style"/>
          <w:b/>
          <w:bCs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FAVORÁVEL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 à apreciação do Projeto de Lei Complementar em análise.</w:t>
      </w: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A nossa decisão, respaldada em criteriosa análise técnica e na escrupulosa observância das normas e diretrizes pertinentes, ratifica a plena adequação e legalidade da propositura, conferindo-lhe um selo de aprovação em consonância com os interesses da comunidade mogimiriana. A tramitação deste projeto se apresenta como um passo significativo em direção ao progresso e ao desenvolvimento ordenado de nossa estimada cidade, demonstrando que os Poderes Legislativo e Executivo estão alinhados em prol do bem-estar e da qualidade de vida de nossos munícipes.</w:t>
      </w: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 xml:space="preserve">Portanto, com base nessa análise técnica e criteriosa, as Comissões Permanentes manifestam o seu Parecer </w:t>
      </w:r>
      <w:r>
        <w:rPr>
          <w:rFonts w:ascii="Bookman Old Style" w:hAnsi="Bookman Old Style"/>
          <w:b/>
          <w:bCs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FAVORÁVEL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, em sintonia com o desejo de contribuir para o avanço e o aprimoramento de nossa amada Mogi Mirim.</w:t>
      </w:r>
    </w:p>
    <w:p>
      <w:pPr>
        <w:jc w:val="both"/>
        <w:rPr>
          <w:rFonts w:ascii="Bookman Old Style" w:hAnsi="Bookman Old Style"/>
          <w:iCs/>
          <w:sz w:val="24"/>
        </w:rPr>
      </w:pP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Sala das Comissões, 22 de novembro de 2023.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</w:pPr>
      <w:r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COMISSÃO DE JUSTIÇA E REDAÇÃO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Marcos Paulo Cegatti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Presidente/Relator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</w:pPr>
      <w:r>
        <w:rPr>
          <w:rFonts w:ascii="Bookman Old Style" w:hAnsi="Bookman Old Style"/>
          <w:b/>
          <w:iCs/>
          <w:sz w:val="24"/>
        </w:rPr>
        <w:t>Vereador João Victor Coutinho Gasparini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Vice-Presidente</w:t>
      </w:r>
    </w:p>
    <w:p>
      <w:pPr>
        <w:rPr>
          <w:rFonts w:ascii="Bookman Old Style" w:hAnsi="Bookman Old Style"/>
          <w:b/>
          <w:iCs/>
          <w:sz w:val="24"/>
        </w:rPr>
      </w:pPr>
    </w:p>
    <w:p>
      <w:pPr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Márcio Evandro Ribeiro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Membro</w:t>
      </w:r>
    </w:p>
    <w:p>
      <w:pPr>
        <w:spacing w:line="240" w:lineRule="auto"/>
        <w:jc w:val="center"/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</w:pPr>
    </w:p>
    <w:p>
      <w:pPr>
        <w:pStyle w:val="LO-normal"/>
        <w:jc w:val="center"/>
        <w:rPr>
          <w:rFonts w:ascii="Bookman Old Style" w:hAnsi="Bookman Old Style"/>
          <w:sz w:val="24"/>
          <w:szCs w:val="24"/>
        </w:rPr>
      </w:pPr>
    </w:p>
    <w:p>
      <w:pPr>
        <w:pStyle w:val="LO-normal"/>
        <w:jc w:val="center"/>
        <w:rPr>
          <w:rFonts w:ascii="Bookman Old Style" w:hAnsi="Bookman Old Style"/>
          <w:sz w:val="24"/>
          <w:szCs w:val="24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  <w:t>COMISSÃO FINANÇAS E ORÇAMENTO</w:t>
      </w: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none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João Victor Coutinho Gasparini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Presidente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Vereadora Mara Cristina Choquetta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Vice-Presidente</w:t>
      </w:r>
    </w:p>
    <w:p>
      <w:pPr>
        <w:rPr>
          <w:rFonts w:ascii="Bookman Old Style" w:hAnsi="Bookman Old Style"/>
          <w:b/>
          <w:iCs/>
          <w:sz w:val="24"/>
        </w:rPr>
      </w:pPr>
    </w:p>
    <w:p>
      <w:pPr>
        <w:rPr>
          <w:rFonts w:ascii="Bookman Old Style" w:hAnsi="Bookman Old Style"/>
          <w:b/>
          <w:iCs/>
          <w:sz w:val="24"/>
        </w:rPr>
      </w:pPr>
    </w:p>
    <w:p>
      <w:pPr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Vereadora Luzia Cristina Côrtes Nogueira</w:t>
      </w:r>
    </w:p>
    <w:p>
      <w:pPr>
        <w:spacing w:before="0" w:after="14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Membro</w:t>
      </w: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left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40"/>
        <w:szCs w:val="40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8019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11.5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40"/>
        <w:szCs w:val="40"/>
      </w:rPr>
      <w:t xml:space="preserve">         </w:t>
    </w:r>
    <w:r>
      <w:rPr>
        <w:rFonts w:ascii="Bookman Old Style" w:hAnsi="Bookman Old Style"/>
        <w:b/>
        <w:sz w:val="40"/>
        <w:szCs w:val="40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Sala das Comissões</w:t>
    </w: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>Parecer Projeto de Lei Complementar nº 02 de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  <w:suppressAutoHyphens/>
      <w:overflowPunct/>
      <w:bidi w:val="0"/>
      <w:spacing w:before="0" w:after="0"/>
      <w:jc w:val="left"/>
    </w:pPr>
    <w:rPr>
      <w:rFonts w:ascii="Bookman Old Style" w:eastAsia="Times New Roman" w:hAnsi="Bookman Old Style" w:cs="Times New Roman"/>
      <w:color w:val="000000"/>
      <w:kern w:val="0"/>
      <w:sz w:val="24"/>
      <w:szCs w:val="20"/>
      <w:lang w:val="pt-BR" w:eastAsia="pt-BR" w:bidi="ar-SA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  <w:pPr>
      <w:widowControl/>
      <w:suppressAutoHyphens/>
      <w:overflowPunct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5</Pages>
  <Words>1188</Words>
  <Characters>7036</Characters>
  <Application>Microsoft Office Word</Application>
  <DocSecurity>0</DocSecurity>
  <Lines>0</Lines>
  <Paragraphs>51</Paragraphs>
  <ScaleCrop>false</ScaleCrop>
  <Company>Camara Municipal</Company>
  <LinksUpToDate>false</LinksUpToDate>
  <CharactersWithSpaces>8231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revision>38</cp:revision>
  <cp:lastPrinted>2023-03-23T11:27:52Z</cp:lastPrinted>
  <dcterms:created xsi:type="dcterms:W3CDTF">2017-01-27T15:29:00Z</dcterms:created>
  <dcterms:modified xsi:type="dcterms:W3CDTF">2023-11-23T13:27:25Z</dcterms:modified>
  <dc:language>pt-BR</dc:language>
</cp:coreProperties>
</file>