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left"/>
        <w:rPr>
          <w:rFonts w:ascii="Bookman Old Style" w:hAnsi="Bookman Old Style"/>
          <w:b/>
          <w:sz w:val="24"/>
          <w:u w:val="single"/>
        </w:rPr>
      </w:pPr>
    </w:p>
    <w:p>
      <w:pPr>
        <w:jc w:val="left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RELATÓRIO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</w:pPr>
      <w:r>
        <w:rPr>
          <w:rFonts w:ascii="Bookman Old Style" w:hAnsi="Bookman Old Style"/>
          <w:b/>
          <w:sz w:val="24"/>
          <w:u w:val="single"/>
        </w:rPr>
        <w:t>PROCESSO Nº 176 DE 2023.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</w:p>
    <w:p>
      <w:pPr>
        <w:ind w:left="0" w:right="0" w:firstLine="708"/>
        <w:jc w:val="both"/>
        <w:rPr>
          <w:rFonts w:ascii="Bookman Old Style" w:hAnsi="Bookman Old Style"/>
          <w:sz w:val="24"/>
        </w:rPr>
      </w:pP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Em estrita observância às determinações normativas insculpidas nos artigos 35 e 42, harmonizados com as disposições do artigo 45 da Resolução 276, datada de 09 de novembro de 2010, que regula o respeitável Regimento Interno desta respeitável Câmara Municipal, é com elevada responsabilidade que as Comissões Permanentes de Justiça e Redação e de Exame de Assuntos Industriais e Comerciais se unem na nobre missão de apresentar o presente Relatório em relação ao Projeto de Lei n.º 130 de 2023, cuja paternidade legislativa é atribuída ao Excelentíssimo Senhor Prefeito, o nobre Paulo de Oliveira e Silva.</w:t>
      </w:r>
    </w:p>
    <w:p>
      <w:pPr>
        <w:ind w:left="0" w:right="0" w:firstLine="0"/>
        <w:jc w:val="both"/>
        <w:rPr>
          <w:rFonts w:ascii="Bookman Old Style" w:hAnsi="Bookman Old Style"/>
          <w:sz w:val="23"/>
          <w:szCs w:val="24"/>
        </w:rPr>
      </w:pPr>
      <w:r>
        <w:rPr>
          <w:rFonts w:ascii="Bookman Old Style" w:hAnsi="Bookman Old Style"/>
          <w:sz w:val="23"/>
          <w:szCs w:val="24"/>
        </w:rPr>
        <w:tab/>
      </w:r>
    </w:p>
    <w:p>
      <w:pPr>
        <w:ind w:left="0" w:right="0" w:firstLine="0"/>
        <w:jc w:val="both"/>
      </w:pPr>
      <w:r>
        <w:rPr>
          <w:rFonts w:ascii="Bookman Old Style" w:hAnsi="Bookman Old Style"/>
          <w:sz w:val="23"/>
          <w:szCs w:val="24"/>
        </w:rPr>
        <w:tab/>
      </w:r>
      <w:r>
        <w:rPr>
          <w:rFonts w:ascii="Bookman Old Style" w:hAnsi="Bookman Old Style"/>
          <w:sz w:val="24"/>
          <w:szCs w:val="24"/>
        </w:rPr>
        <w:t>É imperioso salientar que o Vereador Marcos Paulo Cegatti, ilustre ocupante da presidência da Comissão de Justiça e Redação, ostenta a relevante função de relator neste contexto, sendo-lhe confiada a missão de examinar minuciosamente o conteúdo do presente Relatório</w:t>
      </w:r>
    </w:p>
    <w:p>
      <w:pPr>
        <w:ind w:left="0" w:right="0" w:firstLine="708"/>
        <w:jc w:val="both"/>
        <w:rPr>
          <w:rFonts w:ascii="Bookman Old Style" w:hAnsi="Bookman Old Style"/>
          <w:sz w:val="24"/>
          <w:szCs w:val="24"/>
        </w:rPr>
      </w:pPr>
    </w:p>
    <w:p>
      <w:pPr>
        <w:ind w:left="0" w:right="0" w:firstLine="708"/>
        <w:jc w:val="both"/>
        <w:rPr>
          <w:rFonts w:ascii="Bookman Old Style" w:hAnsi="Bookman Old Style"/>
          <w:b/>
          <w:sz w:val="24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I. Exposição da Matéria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</w: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Trata-se do Projeto de Lei que objetiva a revogação das Leis Municipais nº 5.620/2014 e 5.728/2015, as quais versam sobre a doação de áreas pertencentes a este Município à empresa K J COMÉRCIO DE EMBALAGENS LTDA ME, localizadas no Distrito Industrial Luiz Torrani.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A ação proposta fundamenta-se na imperatividade de salvaguardar o interesse público, uma vez que a referida empresa beneficiária não observou os preceitos legais estabelecidos pelas normativas vigentes, resultando na desocupação dos lotes em questão e na ausência de qualquer destinação para os mesmos.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A inobservância pelos beneficiários dos requisitos legais estabelecidos nas leis de doação de terrenos constitui uma afronta ao interesse público. As leis que autorizaram essas doações foram concebidas com o propósito de favorecer a comunidade local e estimular o desenvolvimento econômico. A subutilização dos terrenos, em desacordo com as condições estipuladas, prejudica o desenvolvimento da comunidade.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A doação de terrenos representa, fundamentalmente, a alocação de recursos públicos para impulsionar o crescimento econômico e gerar empregos. Quando empresas não cumprem com suas obrigações, recebem um benefício indevido, custeado pelos contribuintes. A revogação dessas doações visa restaurar a integridade do processo, assegurando a eficácia no uso dos recursos públicos.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A revogação das doações de terrenos ociosos contribui para promover maior justiça e igualdade na comunidade. Outras empresas interessadas em adquirir terrenos para fins legítimos e em conformidade com as normas estabelecidas terão a oportunidade de fazê-lo. Isso garante que o acesso a oportunidades de desenvolvimento econômico seja equitativo para todos os empreendedores.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É relevante ressaltar que a não ocupação ou utilização adequada dos terrenos doados por empresas constitui um potencial desperdício de recursos públicos. A revogação proposta permitirá a reintegração desses terrenos ao patrimônio público, possibilitando seu uso futuro em projetos que beneficiem a comunidade.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II. Do mérito e conclusões do Relator</w:t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</w: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 xml:space="preserve">A revogação de leis municipais é prerrogativa do Poder Legislativo, porém, o Poder Executivo pode encaminhar projetos de lei para a apreciação legislativa. A Constituição Federal, em seu artigo 30, garante a autonomia dos municípios para legislar sobre assuntos de interesse local, o que inclui o regramento de lotes doados a empresas. </w:t>
      </w:r>
    </w:p>
    <w:p>
      <w:pPr>
        <w:pStyle w:val="BodyText"/>
        <w:jc w:val="both"/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Nesse contexto, é imperativo destacar o escorreito cumprimento das normas e dos procedimentos previstos, conforme delineado anteriormente. Em consonância com o referido regramento, ressalta-se que a iniciativa para a apresentação do Projeto de Lei partiu do Prefeito Municipal, seguindo, portanto, as premissas estabelecidas na legislação aplicável. Neste aspecto, não se vislumbram quaisquer apontamentos que mereçam ser suscitados.</w:t>
      </w:r>
    </w:p>
    <w:p>
      <w:pPr>
        <w:pStyle w:val="BodyText"/>
        <w:jc w:val="both"/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Adentrando em uma esfera técnica mais ampla, que abarca as questões de ordem legislativa e ortográfica, observa-se que o projeto em análise atende integralmente aos ditames da Lei Complementar n.º 95/1998, que dispõe sobre a elaboração, a redação, a alteração e a consolidação das leis. Adicionalmente, as regras gramaticais em vigor foram estrita e meticulosamente respeitadas, atestando a qualidade e a conformidade linguística do texto normativo.</w:t>
      </w:r>
    </w:p>
    <w:p>
      <w:pPr>
        <w:pStyle w:val="BodyText"/>
        <w:jc w:val="both"/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Desta maneira, tanto do ponto de vista jurídico quanto no âmbito gramatical, não se vislumbram quaisquer irregularidades que possam lançar sombras sobre a propositura em análise, a qual se apresenta em estrita conformidade com as normas e os princípios que regem o nosso ordenamento jurídico.</w:t>
      </w:r>
    </w:p>
    <w:p>
      <w:pPr>
        <w:pStyle w:val="BodyText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III. Substitutivos, Emendas ou subemendas ao Projeto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IV. Decisão do Relator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Calibri" w:eastAsia="Arial" w:hAnsi="Calibri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Dessa forma, esta Relatoria, após meticulosa análise, chega à conclusão de que a presente propositura não revela quaisquer vícios de inconstitucionalidade que possam prejudicar a sua tramitação. Baseado nessa análise minuciosa, é com satisfação que este parecer é apresentado como </w:t>
      </w:r>
      <w:r>
        <w:rPr>
          <w:rFonts w:ascii="Bookman Old Style" w:eastAsia="Arial" w:hAnsi="Bookman Old Style" w:cs="Arial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FAVORÁVEL</w:t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 à aprovação do Projeto de Lei em questão. A ausência de impedimentos de ordem constitucional e legal confirma a sua plena adequação ao ordenamento jurídico e às políticas públicas do município. Portanto, a recomendação é de que este Plenário aprecie a presente propositura com vistas ao benefício da coletividade. 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Marcos Paulo Cegatti</w:t>
      </w:r>
    </w:p>
    <w:p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  <w:r>
        <w:rPr>
          <w:rFonts w:ascii="Bookman Old Style" w:eastAsia="Arial" w:hAnsi="Bookman Old Style" w:cs="Arial"/>
          <w:i/>
          <w:iCs/>
          <w:sz w:val="24"/>
          <w:szCs w:val="24"/>
        </w:rPr>
        <w:t>Presidente CJR/Relator</w:t>
      </w:r>
    </w:p>
    <w:p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PARECER DA COMISSÃO DE JUSTIÇA E REDAÇÃO E COMISSÃO DE EXAME DE ASSUNTOS INDUSTRIAIS E COMERCIAIS REFERENTE AO PROJETO DE LEI Nº 130 DE 2023 DE AUTORIA DO PREFEITO MUNICIPAL PAULO DE OLIVEIRA E SILVA.</w:t>
      </w:r>
    </w:p>
    <w:p>
      <w:pPr>
        <w:pStyle w:val="BodyText"/>
        <w:spacing w:line="240" w:lineRule="auto"/>
        <w:jc w:val="left"/>
        <w:rPr>
          <w:b/>
          <w:i w:val="0"/>
          <w:caps w:val="0"/>
          <w:smallCaps w:val="0"/>
          <w:strike w:val="0"/>
          <w:dstrike w:val="0"/>
          <w:color w:val="000000"/>
          <w:u w:val="singl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Calibri" w:hAnsi="Calibri"/>
          <w:b w:val="0"/>
          <w:i w:val="0"/>
          <w:iCs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ab/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Em estrita consonância com o voto proferido pelo eminente Relator e no fiel cumprimento das determinações normativas consagradas nos artigos 35 e 42 aliados às disposições contidas no artigo 45 da Resolução 276, datada de 09 de novembro de 2010, as Comissões Permanentes de Justiça e Redação e de Exame de Assuntos Industriais e Comerciais, conjuntamente e de forma unânime, formalizam o presente Parecer, no qual se manifestam de modo </w:t>
      </w:r>
      <w:r>
        <w:rPr>
          <w:rFonts w:ascii="Bookman Old Style" w:hAnsi="Bookman Old Style"/>
          <w:b/>
          <w:bCs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FAVORÁVEL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 à apreciação do Projeto de Lei em análise.</w:t>
      </w: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A nossa decisão, respaldada em criteriosa análise técnica e na escrupulosa observância das normas e diretrizes pertinentes, ratifica a plena adequação e legalidade da propositura, conferindo-lhe um selo de aprovação em consonância com os interesses da comunidade mogimiriana. A tramitação deste projeto se apresenta como um passo significativo em direção ao progresso e ao desenvolvimento ordenado de nossa estimada cidade, demonstrando que os Poderes Legislativo e Executivo estão alinhados em prol do bem-estar e da qualidade de vida de nossos munícipes.</w:t>
      </w: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Sala das Comissões, 29 de novembro de 2023.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  <w:r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COMISSÃO DE JUSTIÇA E REDAÇÃO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Marcos Paulo Cegatti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Presidente/Relator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</w:pPr>
      <w:r>
        <w:rPr>
          <w:rFonts w:ascii="Bookman Old Style" w:hAnsi="Bookman Old Style"/>
          <w:b/>
          <w:iCs/>
          <w:sz w:val="24"/>
        </w:rPr>
        <w:t>Vereador João Victor Coutinho Gasparini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Vice-Presidente</w:t>
      </w:r>
    </w:p>
    <w:p>
      <w:pPr>
        <w:rPr>
          <w:rFonts w:ascii="Bookman Old Style" w:hAnsi="Bookman Old Style"/>
          <w:b/>
          <w:iCs/>
          <w:sz w:val="24"/>
        </w:rPr>
      </w:pPr>
    </w:p>
    <w:p>
      <w:pPr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Márcio Evandro Ribeiro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Membro</w:t>
      </w:r>
    </w:p>
    <w:p>
      <w:pPr>
        <w:spacing w:line="240" w:lineRule="auto"/>
        <w:jc w:val="center"/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  <w:t xml:space="preserve">COMISSÃO </w:t>
      </w:r>
      <w:r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  <w:t>DE EXAME DE ASSUNTOS INDUSTRIAIS E COMERCIAIS</w:t>
      </w: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none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>
        <w:rPr>
          <w:rFonts w:ascii="Bookman Old Style" w:hAnsi="Bookman Old Style"/>
          <w:b/>
          <w:iCs/>
          <w:sz w:val="24"/>
        </w:rPr>
        <w:t>Orivaldo Aparecido Magalhães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Presidente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Marcos Paulo Cegatti</w:t>
      </w:r>
    </w:p>
    <w:p>
      <w:pPr>
        <w:spacing w:before="0" w:after="140" w:line="240" w:lineRule="auto"/>
        <w:jc w:val="center"/>
        <w:rPr>
          <w:b w:val="0"/>
          <w:bCs w:val="0"/>
          <w:u w:val="none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Membro</w:t>
      </w: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left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40"/>
        <w:szCs w:val="40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155422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11.5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40"/>
        <w:szCs w:val="40"/>
      </w:rPr>
      <w:t xml:space="preserve">         </w:t>
    </w:r>
    <w:r>
      <w:rPr>
        <w:rFonts w:ascii="Bookman Old Style" w:hAnsi="Bookman Old Style"/>
        <w:b/>
        <w:sz w:val="40"/>
        <w:szCs w:val="40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Sala das Comissões</w:t>
    </w: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Parecer Projeto de Lei nº 130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  <w:suppressAutoHyphens/>
      <w:overflowPunct/>
      <w:bidi w:val="0"/>
      <w:spacing w:before="0" w:after="0"/>
      <w:jc w:val="left"/>
    </w:pPr>
    <w:rPr>
      <w:rFonts w:ascii="Bookman Old Style" w:eastAsia="Times New Roman" w:hAnsi="Bookman Old Style" w:cs="Times New Roman"/>
      <w:color w:val="000000"/>
      <w:kern w:val="0"/>
      <w:sz w:val="24"/>
      <w:szCs w:val="20"/>
      <w:lang w:val="pt-BR" w:eastAsia="pt-BR" w:bidi="ar-SA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4</Pages>
  <Words>1066</Words>
  <Characters>6152</Characters>
  <Application>Microsoft Office Word</Application>
  <DocSecurity>0</DocSecurity>
  <Lines>0</Lines>
  <Paragraphs>46</Paragraphs>
  <ScaleCrop>false</ScaleCrop>
  <Company>Camara Municipal</Company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revision>36</cp:revision>
  <cp:lastPrinted>2023-11-27T19:41:55Z</cp:lastPrinted>
  <dcterms:created xsi:type="dcterms:W3CDTF">2017-01-27T15:29:00Z</dcterms:created>
  <dcterms:modified xsi:type="dcterms:W3CDTF">2023-12-05T16:10:24Z</dcterms:modified>
  <dc:language>pt-BR</dc:language>
</cp:coreProperties>
</file>