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E3C">
      <w:pPr>
        <w:rPr>
          <w:rFonts w:ascii="Bookman Old Style" w:hAnsi="Bookman Old Style"/>
          <w:b/>
          <w:sz w:val="24"/>
          <w:u w:val="single"/>
        </w:rPr>
      </w:pPr>
    </w:p>
    <w:p w:rsidR="00925E3D">
      <w:pPr>
        <w:rPr>
          <w:rFonts w:ascii="Bookman Old Style" w:hAnsi="Bookman Old Style"/>
          <w:b/>
          <w:sz w:val="24"/>
          <w:u w:val="single"/>
        </w:rPr>
      </w:pPr>
    </w:p>
    <w:p w:rsidR="00F12E3C">
      <w:pPr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PARECER CONJUNTO DA COMISSÃO DE JUSTIÇA E REDAÇÃO E DA COMISSÃO DE EDUCAÇÃO, SAÚDE, CULTURA, ESPORTE E ASSISTÊNCIA SOCIAL REFERENTE AO PROJETO DE LEI Nº 79 DE 2023 DE AUTORIA DO NOBRE VEREADO ADEMIR SOUZA FLORETTI JUNIOR.</w:t>
      </w:r>
    </w:p>
    <w:p w:rsidR="00925E3D" w:rsidP="00925E3D">
      <w:pPr>
        <w:pStyle w:val="BodyText"/>
        <w:spacing w:line="240" w:lineRule="auto"/>
        <w:rPr>
          <w:b/>
          <w:color w:val="000000"/>
          <w:u w:val="single"/>
        </w:rPr>
      </w:pPr>
    </w:p>
    <w:p w:rsidR="00925E3D">
      <w:pPr>
        <w:rPr>
          <w:rFonts w:ascii="Bookman Old Style" w:hAnsi="Bookman Old Style"/>
          <w:b/>
          <w:sz w:val="24"/>
          <w:u w:val="single"/>
        </w:rPr>
      </w:pPr>
    </w:p>
    <w:p w:rsidR="00F12E3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F12E3C"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107</w:t>
      </w:r>
      <w:r w:rsidR="00855F76">
        <w:rPr>
          <w:rFonts w:ascii="Bookman Old Style" w:hAnsi="Bookman Old Style"/>
          <w:b/>
          <w:sz w:val="24"/>
          <w:u w:val="single"/>
        </w:rPr>
        <w:t xml:space="preserve"> DE 2023.</w:t>
      </w:r>
    </w:p>
    <w:p w:rsidR="00F12E3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pStyle w:val="Standard"/>
        <w:ind w:firstLine="6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Conforme determinam os artigos 35 e 39 combinados com artigo 45 da Resolução 276 de 09 de novembro de 2010 – Regimento Interno da Câmara Municipal - a Comissão Permanente de Justiça e Redação conjuntamente com a Comissão Permanente de Educação, Saúde, Cultura, Esporte e Assistência Social, emitem o presente Relatório acerca do Projeto de Lei nº 79 de 2023, de autoria do Nobre Vereador Ademir Souza </w:t>
      </w:r>
      <w:r>
        <w:rPr>
          <w:rFonts w:ascii="Bookman Old Style" w:hAnsi="Bookman Old Style"/>
          <w:sz w:val="24"/>
          <w:szCs w:val="24"/>
        </w:rPr>
        <w:t>Floretti</w:t>
      </w:r>
      <w:r>
        <w:rPr>
          <w:rFonts w:ascii="Bookman Old Style" w:hAnsi="Bookman Old Style"/>
          <w:sz w:val="24"/>
          <w:szCs w:val="24"/>
        </w:rPr>
        <w:t xml:space="preserve"> Junior.</w:t>
      </w:r>
    </w:p>
    <w:p w:rsidR="00925E3D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25E3D" w:rsidP="00925E3D">
      <w:pPr>
        <w:pStyle w:val="Standard"/>
        <w:ind w:firstLine="709"/>
        <w:jc w:val="both"/>
      </w:pPr>
      <w:r>
        <w:rPr>
          <w:rFonts w:ascii="Bookman Old Style" w:hAnsi="Bookman Old Style"/>
          <w:sz w:val="24"/>
          <w:szCs w:val="24"/>
        </w:rPr>
        <w:t>Tendo como relator o João Victor Coutinho Gasparini, Vice-Presidente da Comissão de Justiça e Redação.</w:t>
      </w:r>
    </w:p>
    <w:p w:rsidR="00925E3D" w:rsidP="00925E3D">
      <w:pPr>
        <w:pStyle w:val="Standard"/>
        <w:ind w:firstLine="708"/>
        <w:jc w:val="both"/>
        <w:rPr>
          <w:rFonts w:ascii="Bookman Old Style" w:hAnsi="Bookman Old Style"/>
          <w:b/>
          <w:sz w:val="24"/>
        </w:rPr>
      </w:pPr>
    </w:p>
    <w:p w:rsidR="00F12E3C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F12E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D42B59">
      <w:pPr>
        <w:pStyle w:val="BodyText"/>
        <w:spacing w:before="240"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</w:r>
    </w:p>
    <w:p w:rsidR="009230A3" w:rsidRPr="009230A3" w:rsidP="009230A3">
      <w:pPr>
        <w:pStyle w:val="Textbody"/>
        <w:spacing w:before="240" w:after="0" w:line="240" w:lineRule="auto"/>
        <w:ind w:firstLine="680"/>
        <w:jc w:val="both"/>
        <w:rPr>
          <w:sz w:val="24"/>
          <w:szCs w:val="24"/>
        </w:rPr>
      </w:pPr>
      <w:r w:rsidRPr="009230A3">
        <w:rPr>
          <w:rFonts w:ascii="Bookman Old Style" w:hAnsi="Bookman Old Style"/>
          <w:color w:val="000000"/>
          <w:sz w:val="24"/>
          <w:szCs w:val="24"/>
        </w:rPr>
        <w:t>De autoria do Nobre Vereador</w:t>
      </w:r>
      <w:r w:rsidRPr="009230A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Ademir Souza </w:t>
      </w:r>
      <w:r>
        <w:rPr>
          <w:rFonts w:ascii="Bookman Old Style" w:hAnsi="Bookman Old Style"/>
          <w:sz w:val="24"/>
          <w:szCs w:val="24"/>
        </w:rPr>
        <w:t>Floretti</w:t>
      </w:r>
      <w:r>
        <w:rPr>
          <w:rFonts w:ascii="Bookman Old Style" w:hAnsi="Bookman Old Style"/>
          <w:sz w:val="24"/>
          <w:szCs w:val="24"/>
        </w:rPr>
        <w:t xml:space="preserve"> Junior</w:t>
      </w:r>
      <w:r w:rsidRPr="009230A3">
        <w:rPr>
          <w:rFonts w:ascii="Bookman Old Style" w:hAnsi="Bookman Old Style"/>
          <w:color w:val="000000"/>
          <w:sz w:val="24"/>
          <w:szCs w:val="24"/>
        </w:rPr>
        <w:t xml:space="preserve">, o Projeto de Lei nº </w:t>
      </w:r>
      <w:r>
        <w:rPr>
          <w:rFonts w:ascii="Bookman Old Style" w:hAnsi="Bookman Old Style"/>
          <w:color w:val="000000"/>
          <w:sz w:val="24"/>
          <w:szCs w:val="24"/>
        </w:rPr>
        <w:t>79/2023</w:t>
      </w:r>
      <w:r w:rsidRPr="009230A3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9230A3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“ INSTITUI O “DIA DO OBREIRO UNIVERSAL”, A SER COMEMORADO ANUALMENTE NO TERCEIRO DOMINGO DO MÊS DE AGOSTO, NO MUNICIPÍO DE MOGI</w:t>
      </w:r>
      <w:r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 xml:space="preserve"> MIRIM E DÁ OUTRAS PROVIDÊNCIAS</w:t>
      </w:r>
      <w:r w:rsidRPr="009230A3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”.</w:t>
      </w:r>
    </w:p>
    <w:p w:rsidR="009230A3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9230A3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 xml:space="preserve">A propositura em tela visa instituir no Calendário de Comemorações Oficiais do Município de Mogi Mirim o </w:t>
      </w:r>
      <w:r w:rsidR="00436015">
        <w:rPr>
          <w:rFonts w:ascii="Bookman Old Style" w:hAnsi="Bookman Old Style"/>
          <w:color w:val="000000"/>
          <w:sz w:val="26"/>
          <w:szCs w:val="26"/>
        </w:rPr>
        <w:t>“</w:t>
      </w:r>
      <w:r>
        <w:rPr>
          <w:rFonts w:ascii="Bookman Old Style" w:hAnsi="Bookman Old Style"/>
          <w:color w:val="000000"/>
          <w:sz w:val="26"/>
          <w:szCs w:val="26"/>
        </w:rPr>
        <w:t>Dia do Obreiro Universal</w:t>
      </w:r>
      <w:r w:rsidR="00436015">
        <w:rPr>
          <w:rFonts w:ascii="Bookman Old Style" w:hAnsi="Bookman Old Style"/>
          <w:color w:val="000000"/>
          <w:sz w:val="26"/>
          <w:szCs w:val="26"/>
        </w:rPr>
        <w:t>”</w:t>
      </w:r>
      <w:r>
        <w:rPr>
          <w:rFonts w:ascii="Bookman Old Style" w:hAnsi="Bookman Old Style"/>
          <w:color w:val="000000"/>
          <w:sz w:val="26"/>
          <w:szCs w:val="26"/>
        </w:rPr>
        <w:t>.</w:t>
      </w:r>
    </w:p>
    <w:p w:rsidR="009230A3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6E44BB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436015">
        <w:rPr>
          <w:rFonts w:ascii="Bookman Old Style" w:hAnsi="Bookman Old Style"/>
          <w:color w:val="000000"/>
          <w:sz w:val="26"/>
          <w:szCs w:val="26"/>
        </w:rPr>
        <w:t xml:space="preserve">Conforme destacado na mensagem que acompanha o Projeto de Lei em análise, a finalidade deste é valorizar e homenagear aqueles que </w:t>
      </w:r>
      <w:r w:rsidRPr="00436015">
        <w:rPr>
          <w:rFonts w:ascii="Bookman Old Style" w:hAnsi="Bookman Old Style"/>
          <w:color w:val="000000"/>
          <w:sz w:val="26"/>
          <w:szCs w:val="26"/>
        </w:rPr>
        <w:t>dedicam-se</w:t>
      </w:r>
      <w:r w:rsidRPr="00436015">
        <w:rPr>
          <w:rFonts w:ascii="Bookman Old Style" w:hAnsi="Bookman Old Style"/>
          <w:color w:val="000000"/>
          <w:sz w:val="26"/>
          <w:szCs w:val="26"/>
        </w:rPr>
        <w:t xml:space="preserve"> às Obras de Deus aqui na Terra, seja por meio do trabalho espiritual, seja pelo desempenho de tarefas físicas e materiais no cotidiano.</w:t>
      </w:r>
    </w:p>
    <w:p w:rsidR="00137710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37710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36015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36015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436015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 w:rsidRPr="00436015">
        <w:rPr>
          <w:rFonts w:ascii="Bookman Old Style" w:hAnsi="Bookman Old Style"/>
          <w:color w:val="000000"/>
          <w:sz w:val="26"/>
          <w:szCs w:val="26"/>
        </w:rPr>
        <w:t>O Artigo 1º da proposta estabelece a inclusão do "Dia do Obreiro Universal" no calendário oficial de datas e eventos do Município de Mogi Mirim. O Artigo 2º complementa, indicando que a referida data será celebrada anualmente no terceiro domingo do mês de agost</w:t>
      </w:r>
      <w:r>
        <w:rPr>
          <w:rFonts w:ascii="Bookman Old Style" w:hAnsi="Bookman Old Style"/>
          <w:color w:val="000000"/>
          <w:sz w:val="26"/>
          <w:szCs w:val="26"/>
        </w:rPr>
        <w:t>o.</w:t>
      </w:r>
    </w:p>
    <w:p w:rsidR="00436015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94790A" w:rsidP="0094790A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Cumpre salientar que h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ouve parecer </w:t>
      </w:r>
      <w:r w:rsidRPr="0006680F" w:rsidR="00137710">
        <w:rPr>
          <w:rFonts w:ascii="Bookman Old Style" w:hAnsi="Bookman Old Style"/>
          <w:b/>
          <w:color w:val="000000"/>
          <w:sz w:val="26"/>
          <w:szCs w:val="26"/>
        </w:rPr>
        <w:t>FAVORÁVEL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 p</w:t>
      </w:r>
      <w:r>
        <w:rPr>
          <w:rFonts w:ascii="Bookman Old Style" w:hAnsi="Bookman Old Style"/>
          <w:color w:val="000000"/>
          <w:sz w:val="26"/>
          <w:szCs w:val="26"/>
        </w:rPr>
        <w:t>or parte da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 SGP, que entendeu que o Projeto de Lei </w:t>
      </w:r>
      <w:r>
        <w:rPr>
          <w:rFonts w:ascii="Bookman Old Style" w:hAnsi="Bookman Old Style"/>
          <w:color w:val="000000"/>
          <w:sz w:val="26"/>
          <w:szCs w:val="26"/>
        </w:rPr>
        <w:t>em análise pode prosperar</w:t>
      </w:r>
      <w:r w:rsidRPr="0094790A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uma vez</w:t>
      </w:r>
      <w:r w:rsidRPr="0094790A">
        <w:rPr>
          <w:rFonts w:ascii="Bookman Old Style" w:hAnsi="Bookman Old Style"/>
          <w:color w:val="000000"/>
          <w:sz w:val="26"/>
          <w:szCs w:val="26"/>
        </w:rPr>
        <w:t xml:space="preserve"> que não </w:t>
      </w:r>
      <w:r>
        <w:rPr>
          <w:rFonts w:ascii="Bookman Old Style" w:hAnsi="Bookman Old Style"/>
          <w:color w:val="000000"/>
          <w:sz w:val="26"/>
          <w:szCs w:val="26"/>
        </w:rPr>
        <w:t>apresenta</w:t>
      </w:r>
      <w:r w:rsidRPr="0094790A">
        <w:rPr>
          <w:rFonts w:ascii="Bookman Old Style" w:hAnsi="Bookman Old Style"/>
          <w:color w:val="000000"/>
          <w:sz w:val="26"/>
          <w:szCs w:val="26"/>
        </w:rPr>
        <w:t xml:space="preserve"> vício</w:t>
      </w:r>
      <w:r>
        <w:rPr>
          <w:rFonts w:ascii="Bookman Old Style" w:hAnsi="Bookman Old Style"/>
          <w:color w:val="000000"/>
          <w:sz w:val="26"/>
          <w:szCs w:val="26"/>
        </w:rPr>
        <w:t>s de iniciativa e competência. Além disso, não acarreta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 despesas</w:t>
      </w:r>
      <w:r>
        <w:rPr>
          <w:rFonts w:ascii="Bookman Old Style" w:hAnsi="Bookman Old Style"/>
          <w:color w:val="000000"/>
          <w:sz w:val="26"/>
          <w:szCs w:val="26"/>
        </w:rPr>
        <w:t xml:space="preserve">, </w:t>
      </w:r>
      <w:r w:rsidRPr="0094790A" w:rsidR="006E44BB">
        <w:rPr>
          <w:rFonts w:ascii="Bookman Old Style" w:hAnsi="Bookman Old Style"/>
          <w:color w:val="000000"/>
          <w:sz w:val="26"/>
          <w:szCs w:val="26"/>
        </w:rPr>
        <w:t xml:space="preserve">ônus </w:t>
      </w:r>
      <w:r w:rsidRPr="0094790A">
        <w:rPr>
          <w:rFonts w:ascii="Bookman Old Style" w:hAnsi="Bookman Old Style"/>
          <w:color w:val="000000"/>
          <w:sz w:val="26"/>
          <w:szCs w:val="26"/>
        </w:rPr>
        <w:t>ou imposições ao Poder Executivo Municipal, secretarias, departamentos ou órgãos</w:t>
      </w:r>
      <w:r>
        <w:rPr>
          <w:rFonts w:ascii="Bookman Old Style" w:hAnsi="Bookman Old Style"/>
          <w:color w:val="000000"/>
          <w:sz w:val="26"/>
          <w:szCs w:val="26"/>
        </w:rPr>
        <w:t>.</w:t>
      </w:r>
    </w:p>
    <w:p w:rsidR="0094790A" w:rsidP="0094790A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9230A3" w:rsidP="009230A3">
      <w:pPr>
        <w:pStyle w:val="Textbody"/>
        <w:spacing w:after="0" w:line="240" w:lineRule="auto"/>
        <w:ind w:firstLine="737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F12E3C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F12E3C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137710" w:rsidP="00137710">
      <w:pPr>
        <w:pStyle w:val="BodyText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="0006680F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N</w:t>
      </w:r>
      <w:r>
        <w:rPr>
          <w:rFonts w:ascii="Bookman Old Style" w:hAnsi="Bookman Old Style"/>
          <w:color w:val="000000"/>
          <w:sz w:val="26"/>
          <w:szCs w:val="26"/>
        </w:rPr>
        <w:t>os termos do artigo 30, inciso I, da Constituição Federal</w:t>
      </w:r>
      <w:r w:rsidR="00412D05">
        <w:rPr>
          <w:rFonts w:ascii="Bookman Old Style" w:hAnsi="Bookman Old Style"/>
          <w:color w:val="000000"/>
          <w:sz w:val="26"/>
          <w:szCs w:val="26"/>
        </w:rPr>
        <w:t>,</w:t>
      </w:r>
      <w:r>
        <w:rPr>
          <w:rFonts w:ascii="Bookman Old Style" w:hAnsi="Bookman Old Style"/>
          <w:color w:val="000000"/>
          <w:sz w:val="26"/>
          <w:szCs w:val="26"/>
        </w:rPr>
        <w:t xml:space="preserve"> e artigo 12, inciso I, da Lei Orgânica Municipal, a competência para legislar sobre assuntos de interesse local é conferida ao Município. Confira-se:</w:t>
      </w:r>
    </w:p>
    <w:p w:rsidR="00137710" w:rsidP="00137710">
      <w:pPr>
        <w:pStyle w:val="Textbody"/>
        <w:spacing w:before="240" w:after="0" w:line="240" w:lineRule="auto"/>
        <w:ind w:firstLine="680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30</w:t>
      </w:r>
      <w:r>
        <w:rPr>
          <w:i/>
          <w:color w:val="000000"/>
          <w:sz w:val="26"/>
          <w:szCs w:val="26"/>
        </w:rPr>
        <w:t>.</w:t>
      </w:r>
      <w:r w:rsidRPr="00C76BC3">
        <w:rPr>
          <w:i/>
          <w:color w:val="000000"/>
          <w:sz w:val="26"/>
          <w:szCs w:val="26"/>
        </w:rPr>
        <w:t xml:space="preserve"> Compete aos Municípios:</w:t>
      </w:r>
    </w:p>
    <w:p w:rsidR="00137710" w:rsidRPr="00C76BC3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C76BC3">
        <w:rPr>
          <w:i/>
          <w:color w:val="000000"/>
          <w:sz w:val="26"/>
          <w:szCs w:val="26"/>
        </w:rPr>
        <w:t xml:space="preserve">I - </w:t>
      </w:r>
      <w:r w:rsidRPr="00C76BC3">
        <w:rPr>
          <w:i/>
          <w:color w:val="000000"/>
          <w:sz w:val="26"/>
          <w:szCs w:val="26"/>
        </w:rPr>
        <w:t>legislar</w:t>
      </w:r>
      <w:r w:rsidRPr="00C76BC3">
        <w:rPr>
          <w:i/>
          <w:color w:val="000000"/>
          <w:sz w:val="26"/>
          <w:szCs w:val="26"/>
        </w:rPr>
        <w:t xml:space="preserve"> sobre assuntos de interesse local;</w:t>
      </w: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4F6C22">
        <w:rPr>
          <w:b/>
          <w:i/>
          <w:color w:val="000000"/>
          <w:sz w:val="26"/>
          <w:szCs w:val="26"/>
        </w:rPr>
        <w:t>Art. 12</w:t>
      </w:r>
      <w:r w:rsidRPr="00313C65">
        <w:rPr>
          <w:i/>
          <w:color w:val="000000"/>
          <w:sz w:val="26"/>
          <w:szCs w:val="26"/>
        </w:rPr>
        <w:t>.  Ao Município compete prover tudo quanto diga respeito ao seu peculiar interesse e ao bem-estar de sua população, cabendo-lhe, privativamente, dentre outras, as seguintes atribuições:</w:t>
      </w:r>
    </w:p>
    <w:p w:rsidR="00137710" w:rsidRPr="00313C65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RPr="00313C65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  <w:r w:rsidRPr="00313C65">
        <w:rPr>
          <w:i/>
          <w:color w:val="000000"/>
          <w:sz w:val="26"/>
          <w:szCs w:val="26"/>
        </w:rPr>
        <w:t xml:space="preserve">I - </w:t>
      </w:r>
      <w:r w:rsidRPr="00313C65">
        <w:rPr>
          <w:i/>
          <w:color w:val="000000"/>
          <w:sz w:val="26"/>
          <w:szCs w:val="26"/>
        </w:rPr>
        <w:t>legislar</w:t>
      </w:r>
      <w:r w:rsidRPr="00313C65">
        <w:rPr>
          <w:i/>
          <w:color w:val="000000"/>
          <w:sz w:val="26"/>
          <w:szCs w:val="26"/>
        </w:rPr>
        <w:t xml:space="preserve"> sobre assuntos de interesse local, na área urbana e rural;</w:t>
      </w:r>
    </w:p>
    <w:p w:rsidR="00137710" w:rsidRPr="00313C65" w:rsidP="00137710">
      <w:pPr>
        <w:pStyle w:val="Textbody"/>
        <w:spacing w:after="0"/>
        <w:ind w:left="1134"/>
        <w:jc w:val="both"/>
        <w:rPr>
          <w:i/>
          <w:color w:val="000000"/>
          <w:sz w:val="26"/>
          <w:szCs w:val="26"/>
        </w:rPr>
      </w:pPr>
    </w:p>
    <w:p w:rsidR="00137710" w:rsidRPr="0006680F" w:rsidP="0006680F">
      <w:pPr>
        <w:pStyle w:val="BodyText"/>
        <w:jc w:val="both"/>
        <w:rPr>
          <w:rFonts w:ascii="Bookman Old Style" w:hAnsi="Bookman Old Style"/>
          <w:color w:val="000000"/>
          <w:sz w:val="26"/>
          <w:szCs w:val="26"/>
        </w:rPr>
      </w:pPr>
    </w:p>
    <w:p w:rsidR="0006680F" w:rsidRPr="0006680F" w:rsidP="0006680F">
      <w:pPr>
        <w:pStyle w:val="BodyText"/>
        <w:ind w:firstLine="851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680F">
        <w:rPr>
          <w:rFonts w:ascii="Bookman Old Style" w:hAnsi="Bookman Old Style"/>
          <w:color w:val="000000"/>
          <w:sz w:val="26"/>
          <w:szCs w:val="26"/>
        </w:rPr>
        <w:t>A</w:t>
      </w:r>
      <w:r w:rsidRPr="0006680F">
        <w:rPr>
          <w:rFonts w:ascii="Bookman Old Style" w:hAnsi="Bookman Old Style"/>
          <w:color w:val="000000"/>
          <w:sz w:val="26"/>
          <w:szCs w:val="26"/>
        </w:rPr>
        <w:t xml:space="preserve"> instituição de datas comemorativas que promovem a valorização e reconhecimento de segmentos específicos da sociedade enquadra-se claramente como matéria de interesse local, estando</w:t>
      </w:r>
      <w:r>
        <w:rPr>
          <w:rFonts w:ascii="Bookman Old Style" w:hAnsi="Bookman Old Style"/>
          <w:color w:val="000000"/>
          <w:sz w:val="26"/>
          <w:szCs w:val="26"/>
        </w:rPr>
        <w:t>, portanto,</w:t>
      </w:r>
      <w:r w:rsidRPr="0006680F">
        <w:rPr>
          <w:rFonts w:ascii="Bookman Old Style" w:hAnsi="Bookman Old Style"/>
          <w:color w:val="000000"/>
          <w:sz w:val="26"/>
          <w:szCs w:val="26"/>
        </w:rPr>
        <w:t xml:space="preserve"> em consonância com a competência municipal</w:t>
      </w:r>
      <w:r w:rsidRPr="0006680F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.</w:t>
      </w:r>
    </w:p>
    <w:p w:rsidR="0006680F" w:rsidRPr="0006680F" w:rsidP="0006680F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6680F" w:rsidRPr="0006680F" w:rsidP="0006680F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E4484B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Quanto a</w:t>
      </w:r>
      <w:r w:rsidRPr="00E4484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iniciativa do Poder Legislativo </w:t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em</w:t>
      </w:r>
      <w:r w:rsidRPr="00E4484B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 dispor sobre a instituição e inclusão de datas comemorativas no Calendário Oficial do Município, ressalte-se, está amparada na Lei Orgânica do Município, eis que a matéria não se enfeixa dentre aquelas cuja competência legislativa é privativa do Chefe do Poder Executivo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.</w:t>
      </w:r>
    </w:p>
    <w:p w:rsidR="0006680F" w:rsidP="00E4484B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06680F" w:rsidP="0006680F">
      <w:pPr>
        <w:pStyle w:val="BodyText"/>
        <w:tabs>
          <w:tab w:val="left" w:pos="851"/>
        </w:tabs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6680F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O teor do projeto apresenta-se claro e objetivo, definindo a data de celebração do "DIA DO OBREIRO UNIVERSAL" e sua integração ao calendário oficial do município. A proposição não viola preceitos constitucionais ou legais, demonstrando coesão com os valores culturais e sociais da comunidade local.</w:t>
      </w:r>
    </w:p>
    <w:p w:rsidR="00E4484B" w:rsidP="00E4484B">
      <w:pPr>
        <w:pStyle w:val="BodyText"/>
        <w:spacing w:after="0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06680F">
      <w:pPr>
        <w:pStyle w:val="BodyText"/>
        <w:spacing w:after="0"/>
        <w:ind w:firstLine="709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Por fim, destaca-se 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que o Projeto de Lei em propositura, não impõe nenhum ônus direto aos órgãos, departamentos ou secretarias municipais, respeitando, assim, o dis</w:t>
      </w:r>
      <w:bookmarkStart w:id="0" w:name="_GoBack"/>
      <w:bookmarkEnd w:id="0"/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posto no artigo nº 2, da Consti</w:t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tuição Federal, que consagra o Princípio da S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eparação dos </w:t>
      </w:r>
      <w:r w:rsidR="00412D05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P</w:t>
      </w:r>
      <w:r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oderes, conforme acertadamente apontado no relatório da SGP.</w:t>
      </w:r>
    </w:p>
    <w:p w:rsidR="00E4484B" w:rsidP="00E4484B">
      <w:pPr>
        <w:pStyle w:val="BodyText"/>
        <w:spacing w:after="0"/>
        <w:ind w:firstLine="851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</w:p>
    <w:p w:rsidR="00E4484B" w:rsidP="0006680F">
      <w:pPr>
        <w:pStyle w:val="Standard"/>
        <w:spacing w:after="240"/>
        <w:ind w:firstLine="794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>
        <w:rPr>
          <w:rFonts w:ascii="Bookman Old Style" w:hAnsi="Bookman Old Style"/>
          <w:color w:val="000000"/>
          <w:sz w:val="26"/>
          <w:szCs w:val="26"/>
        </w:rPr>
        <w:t>Diante de todo exposto, não se verifica óbice para continuidade da proposta, posto não haver vícios materiais ou de iniciativa ou ainda ilega</w:t>
      </w:r>
      <w:r>
        <w:rPr>
          <w:rFonts w:ascii="Bookman Old Style" w:hAnsi="Bookman Old Style"/>
          <w:color w:val="000000"/>
          <w:sz w:val="26"/>
          <w:szCs w:val="26"/>
        </w:rPr>
        <w:t>lidade junto ao Projeto de Lei nº 79/2023</w:t>
      </w:r>
      <w:r>
        <w:rPr>
          <w:rFonts w:ascii="Bookman Old Style" w:hAnsi="Bookman Old Style"/>
          <w:bCs/>
          <w:color w:val="000000"/>
          <w:kern w:val="0"/>
          <w:sz w:val="24"/>
          <w:szCs w:val="24"/>
          <w:lang w:eastAsia="ar-SA" w:bidi="ar-SA"/>
        </w:rPr>
        <w:t>.</w:t>
      </w:r>
    </w:p>
    <w:p w:rsidR="0094790A">
      <w:pPr>
        <w:pStyle w:val="BodyText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</w:p>
    <w:p w:rsidR="00F12E3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06680F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</w:p>
    <w:p w:rsidR="00F12E3C" w:rsidP="0006680F">
      <w:pPr>
        <w:pStyle w:val="BodyText"/>
        <w:shd w:val="clear" w:color="auto" w:fill="FFFFFF"/>
        <w:spacing w:before="240" w:after="0" w:line="24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12E3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F12E3C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IV. Decisão do Relator</w:t>
      </w:r>
    </w:p>
    <w:p w:rsidR="00436015" w:rsidP="00436015">
      <w:pPr>
        <w:pStyle w:val="Textbody"/>
        <w:shd w:val="clear" w:color="auto" w:fill="FFFFFF"/>
        <w:spacing w:before="240" w:after="0" w:line="240" w:lineRule="auto"/>
        <w:ind w:firstLine="851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6680F" w:rsidP="00436015">
      <w:pPr>
        <w:pStyle w:val="Textbody"/>
        <w:shd w:val="clear" w:color="auto" w:fill="FFFFFF"/>
        <w:spacing w:before="240" w:after="0" w:line="240" w:lineRule="auto"/>
        <w:ind w:firstLine="851"/>
        <w:jc w:val="both"/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Portanto,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esta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Relatoria considera que a presente propositura não 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apresenta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 xml:space="preserve"> vícios de constitucionalidade, recebendo parecer </w:t>
      </w:r>
      <w:r>
        <w:rPr>
          <w:rFonts w:ascii="Bookman Old Style" w:eastAsia="Arial" w:hAnsi="Bookman Old Style" w:cs="Arial"/>
          <w:b/>
          <w:color w:val="000000"/>
          <w:sz w:val="24"/>
          <w:szCs w:val="24"/>
        </w:rPr>
        <w:t>FAVORÁVEL</w:t>
      </w:r>
      <w:r>
        <w:rPr>
          <w:rFonts w:ascii="Bookman Old Style" w:eastAsia="Arial" w:hAnsi="Bookman Old Style" w:cs="Arial"/>
          <w:color w:val="000000"/>
          <w:sz w:val="24"/>
          <w:szCs w:val="24"/>
        </w:rPr>
        <w:t>.</w:t>
      </w:r>
    </w:p>
    <w:p w:rsidR="0006680F" w:rsidP="0006680F">
      <w:pPr>
        <w:pStyle w:val="Standard"/>
        <w:jc w:val="center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6680F" w:rsidP="0006680F">
      <w:pPr>
        <w:pStyle w:val="Standard"/>
        <w:jc w:val="center"/>
        <w:rPr>
          <w:b/>
          <w:bCs/>
          <w:color w:val="000000"/>
        </w:rPr>
      </w:pPr>
    </w:p>
    <w:p w:rsidR="0006680F" w:rsidP="0006680F">
      <w:pPr>
        <w:pStyle w:val="Standard"/>
        <w:jc w:val="center"/>
        <w:rPr>
          <w:b/>
          <w:bCs/>
          <w:color w:val="000000"/>
        </w:rPr>
      </w:pP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iCs/>
          <w:color w:val="000000"/>
          <w:sz w:val="24"/>
        </w:rPr>
        <w:t>Vereador João Victor Coutinho Gasparini</w:t>
      </w:r>
    </w:p>
    <w:p w:rsidR="0006680F" w:rsidP="0006680F">
      <w:pPr>
        <w:pStyle w:val="Standard"/>
        <w:jc w:val="center"/>
      </w:pPr>
      <w:r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Vice-Presidente da Comissão Justiça e Redação/Relator</w:t>
      </w:r>
    </w:p>
    <w:p w:rsidR="0006680F">
      <w:pPr>
        <w:pStyle w:val="BodyText"/>
        <w:shd w:val="clear" w:color="auto" w:fill="FFFFFF"/>
        <w:spacing w:before="240" w:after="0" w:line="240" w:lineRule="auto"/>
        <w:jc w:val="both"/>
        <w:rPr>
          <w:rFonts w:ascii="Calibri" w:eastAsia="Arial" w:hAnsi="Calibri" w:cs="Arial"/>
          <w:color w:val="000000"/>
          <w:sz w:val="26"/>
          <w:szCs w:val="26"/>
        </w:rPr>
      </w:pPr>
      <w:r>
        <w:rPr>
          <w:rFonts w:ascii="Calibri" w:eastAsia="Arial" w:hAnsi="Calibri" w:cs="Arial"/>
          <w:color w:val="000000"/>
          <w:sz w:val="26"/>
          <w:szCs w:val="26"/>
        </w:rPr>
        <w:tab/>
      </w:r>
    </w:p>
    <w:p w:rsidR="0006680F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FF4000"/>
          <w:sz w:val="24"/>
          <w:szCs w:val="24"/>
          <w:shd w:val="clear" w:color="auto" w:fill="FFFF00"/>
        </w:rPr>
      </w:pPr>
    </w:p>
    <w:p w:rsidR="0006680F" w:rsidP="0006680F">
      <w:pPr>
        <w:pStyle w:val="Textbody"/>
        <w:spacing w:line="240" w:lineRule="auto"/>
        <w:jc w:val="both"/>
      </w:pPr>
      <w:bookmarkStart w:id="1" w:name="docs-internal-guid-4f89cce7-7fff-8e94-16"/>
      <w:bookmarkEnd w:id="1"/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CONJUNTO DA COMISSÃO DE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JUSTIÇA E REDAÇÃO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E </w:t>
      </w:r>
      <w:r>
        <w:rPr>
          <w:rFonts w:ascii="Bookman Old Style" w:hAnsi="Bookman Old Style"/>
          <w:b/>
          <w:sz w:val="24"/>
          <w:u w:val="single"/>
        </w:rPr>
        <w:t xml:space="preserve">COMISSÃO DE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6680F" w:rsidP="0006680F">
      <w:pPr>
        <w:pStyle w:val="Textbody"/>
        <w:spacing w:before="240" w:after="0" w:line="240" w:lineRule="auto"/>
        <w:jc w:val="both"/>
      </w:pPr>
      <w:r>
        <w:rPr>
          <w:rFonts w:ascii="Calibri" w:hAnsi="Calibri"/>
          <w:iCs/>
          <w:color w:val="FF4000"/>
          <w:sz w:val="26"/>
        </w:rPr>
        <w:tab/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Seguindo o Voto exarado pelo Relator e conforme determina os artigos 35 e 39 da Resolução n.º 276 de 09 de novembro de 2.010, a Comissão Permanente de Justiça e Redação, conjuntamente com a Comissão de Educação, Saúde, Cultura, Esportes e Assistência Social, formalizam o presente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PARECER FAVORÁVEL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, ao Projeto de Lei Complementar nº </w:t>
      </w:r>
      <w:r>
        <w:rPr>
          <w:rFonts w:ascii="Bookman Old Style" w:hAnsi="Bookman Old Style"/>
          <w:iCs/>
          <w:color w:val="000000"/>
          <w:sz w:val="24"/>
          <w:szCs w:val="24"/>
        </w:rPr>
        <w:t>79/2023</w:t>
      </w:r>
      <w:r>
        <w:rPr>
          <w:rFonts w:ascii="Bookman Old Style" w:hAnsi="Bookman Old Style"/>
          <w:iCs/>
          <w:color w:val="000000"/>
          <w:sz w:val="24"/>
          <w:szCs w:val="24"/>
        </w:rPr>
        <w:t>.</w:t>
      </w: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both"/>
        <w:rPr>
          <w:rFonts w:ascii="Bookman Old Style" w:hAnsi="Bookman Old Style"/>
          <w:iCs/>
          <w:color w:val="FF4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Sala das Comissões, </w:t>
      </w:r>
      <w:r>
        <w:rPr>
          <w:rFonts w:ascii="Bookman Old Style" w:hAnsi="Bookman Old Style"/>
          <w:b/>
          <w:iCs/>
          <w:color w:val="000000"/>
          <w:sz w:val="24"/>
        </w:rPr>
        <w:t>05 de dezembro de 2023.</w:t>
      </w:r>
    </w:p>
    <w:p w:rsidR="00F12E3C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 w:rsidR="00F12E3C">
      <w:pPr>
        <w:jc w:val="center"/>
        <w:rPr>
          <w:rFonts w:ascii="Bookman Old Style" w:hAnsi="Bookman Old Style"/>
          <w:iCs/>
          <w:sz w:val="24"/>
        </w:rPr>
      </w:pPr>
    </w:p>
    <w:p w:rsidR="00F12E3C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 xml:space="preserve">Vereador Marcos Paulo </w:t>
      </w:r>
      <w:r>
        <w:rPr>
          <w:rFonts w:ascii="Bookman Old Style" w:hAnsi="Bookman Old Style"/>
          <w:b/>
          <w:iCs/>
          <w:color w:val="000000"/>
          <w:sz w:val="24"/>
        </w:rPr>
        <w:t>Cegatti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 w:rsidR="0006680F" w:rsidP="0006680F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rPr>
          <w:rFonts w:ascii="Bookman Old Style" w:hAnsi="Bookman Old Style"/>
          <w:b/>
          <w:iCs/>
          <w:color w:val="000000"/>
          <w:sz w:val="24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Márcio Evandro Ribeiro</w:t>
      </w:r>
    </w:p>
    <w:p w:rsidR="0006680F" w:rsidP="0006680F">
      <w:pPr>
        <w:pStyle w:val="Standard"/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Membro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 xml:space="preserve">EDUCAÇÃO, 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SAÚDE,  CULTURA</w:t>
      </w:r>
      <w:r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, ESPORTE E ASSISTÊNCIA SOCIAL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Vereadora </w:t>
      </w:r>
      <w:r>
        <w:rPr>
          <w:rFonts w:ascii="Bookman Old Style" w:hAnsi="Bookman Old Style"/>
          <w:b/>
          <w:iCs/>
          <w:sz w:val="24"/>
          <w:szCs w:val="24"/>
        </w:rPr>
        <w:t>Luzia Cristina Cortes Nogueira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Presidente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br/>
      </w:r>
    </w:p>
    <w:p w:rsidR="0006680F" w:rsidP="0006680F">
      <w:pPr>
        <w:pStyle w:val="Standard"/>
        <w:jc w:val="center"/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Lúcia Maria Ferreira Tenório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Vice-Presidente</w:t>
      </w: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</w:p>
    <w:p w:rsidR="0006680F" w:rsidP="0006680F">
      <w:pPr>
        <w:pStyle w:val="Standard"/>
        <w:jc w:val="center"/>
        <w:rPr>
          <w:rFonts w:ascii="Bookman Old Style" w:hAnsi="Bookman Old Style"/>
          <w:b/>
          <w:bCs/>
          <w:color w:val="000000"/>
          <w:sz w:val="26"/>
          <w:szCs w:val="26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</w:rPr>
        <w:t>Vereadora Joelma Franco</w:t>
      </w:r>
      <w:r>
        <w:rPr>
          <w:rFonts w:ascii="Bookman Old Style" w:hAnsi="Bookman Old Style"/>
          <w:b/>
          <w:bCs/>
          <w:color w:val="000000"/>
          <w:sz w:val="26"/>
          <w:szCs w:val="26"/>
        </w:rPr>
        <w:t xml:space="preserve"> da Cunha</w:t>
      </w:r>
    </w:p>
    <w:p w:rsidR="0006680F" w:rsidP="0006680F">
      <w:pPr>
        <w:pStyle w:val="Standard"/>
        <w:jc w:val="center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Membro</w:t>
      </w:r>
    </w:p>
    <w:p w:rsidR="0006680F" w:rsidP="0006680F">
      <w:pPr>
        <w:pStyle w:val="Textbody"/>
        <w:spacing w:line="240" w:lineRule="auto"/>
        <w:jc w:val="center"/>
        <w:rPr>
          <w:rFonts w:ascii="Bookman Old Style" w:hAnsi="Bookman Old Style"/>
          <w:iCs/>
          <w:color w:val="FF4000"/>
          <w:sz w:val="24"/>
          <w:szCs w:val="24"/>
        </w:rPr>
      </w:pPr>
    </w:p>
    <w:p w:rsidR="00F12E3C">
      <w:pPr>
        <w:pStyle w:val="BodyText"/>
        <w:spacing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E3C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E3C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Estado de São Paulo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625822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12E3C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12E3C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F12E3C">
    <w:pPr>
      <w:pStyle w:val="Cabealho1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3C"/>
    <w:rsid w:val="0006680F"/>
    <w:rsid w:val="00137710"/>
    <w:rsid w:val="00313C65"/>
    <w:rsid w:val="003B24A9"/>
    <w:rsid w:val="00412D05"/>
    <w:rsid w:val="00436015"/>
    <w:rsid w:val="004E5021"/>
    <w:rsid w:val="004F6C22"/>
    <w:rsid w:val="006E44BB"/>
    <w:rsid w:val="00855F76"/>
    <w:rsid w:val="009230A3"/>
    <w:rsid w:val="00925E3D"/>
    <w:rsid w:val="0094790A"/>
    <w:rsid w:val="00C76BC3"/>
    <w:rsid w:val="00D42B59"/>
    <w:rsid w:val="00E4484B"/>
    <w:rsid w:val="00F12E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91B9DF-E7BC-4F01-9CAA-9AA2B1CE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925E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25E3D"/>
  </w:style>
  <w:style w:type="paragraph" w:styleId="Footer">
    <w:name w:val="footer"/>
    <w:basedOn w:val="Normal"/>
    <w:link w:val="RodapChar"/>
    <w:uiPriority w:val="99"/>
    <w:unhideWhenUsed/>
    <w:rsid w:val="00925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25E3D"/>
  </w:style>
  <w:style w:type="paragraph" w:customStyle="1" w:styleId="Standard">
    <w:name w:val="Standard"/>
    <w:rsid w:val="00925E3D"/>
    <w:pPr>
      <w:autoSpaceDN w:val="0"/>
      <w:textAlignment w:val="baseline"/>
    </w:pPr>
    <w:rPr>
      <w:kern w:val="3"/>
      <w:lang w:eastAsia="zh-CN" w:bidi="hi-IN"/>
    </w:rPr>
  </w:style>
  <w:style w:type="paragraph" w:customStyle="1" w:styleId="Textbody">
    <w:name w:val="Text body"/>
    <w:basedOn w:val="Standard"/>
    <w:rsid w:val="009230A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JV Gasparini</cp:lastModifiedBy>
  <cp:revision>4</cp:revision>
  <cp:lastPrinted>2023-03-23T11:27:00Z</cp:lastPrinted>
  <dcterms:created xsi:type="dcterms:W3CDTF">2023-12-05T14:57:00Z</dcterms:created>
  <dcterms:modified xsi:type="dcterms:W3CDTF">2023-12-05T19:11:00Z</dcterms:modified>
  <dc:language>pt-BR</dc:language>
</cp:coreProperties>
</file>