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before="0" w:after="0"/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Parecer Nº 1 ao Projeto de Lei Nº 20/2024</w:t>
      </w:r>
    </w:p>
    <w:p>
      <w:pPr>
        <w:spacing w:before="0" w:after="0"/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>
      <w:pPr>
        <w:spacing w:before="0" w:after="0"/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Parecer Nº 1 ao Projeto de Lei Nº 20/2024</w:t>
      </w:r>
      <w:bookmarkStart w:id="0" w:name="docs-internal-guid-6dc14b50-7fff-3068-6d"/>
      <w:bookmarkEnd w:id="0"/>
    </w:p>
    <w:p>
      <w:pPr>
        <w:spacing w:before="0" w:after="0"/>
        <w:contextualSpacing/>
        <w:rPr>
          <w:sz w:val="18"/>
          <w:szCs w:val="18"/>
        </w:rPr>
      </w:pPr>
    </w:p>
    <w:p>
      <w:pPr>
        <w:pStyle w:val="BodyText"/>
        <w:spacing w:before="0" w:after="0" w:line="240" w:lineRule="auto"/>
        <w:contextualSpacing/>
        <w:rPr>
          <w:sz w:val="18"/>
          <w:szCs w:val="18"/>
        </w:rPr>
      </w:pPr>
      <w:r>
        <w:rPr>
          <w:rFonts w:ascii="Calibri" w:hAnsi="Calibri"/>
          <w:b/>
          <w:color w:val="000000"/>
          <w:sz w:val="24"/>
          <w:szCs w:val="24"/>
        </w:rPr>
        <w:t>Processo nº 20/2024</w:t>
      </w:r>
    </w:p>
    <w:p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ab/>
        <w:t>Conforme determinam os artigos 35, 37 e 39 da Resolução 276 de 09 de novembro de 2010 – Regimento Interno da Câmara Municipal, a Comissão Permanente de Justiça e Redação conjuntamente com as Comissões Permanentes de Educação, Saúde, Cultura, Esporte e Assistência Social e de Finanças e Orçamento emitem o presente Relatório acerca do Projeto de Lei nº 20/2024, de autoria do Exmo. Sr. Prefeito Municipal, sob relatoria da Vereadora Luzia Cristina Cortes Nogueira.</w:t>
      </w:r>
    </w:p>
    <w:p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24"/>
        </w:rPr>
        <w:tab/>
        <w:t xml:space="preserve">O Excelentíssimo Senhor Prefeito Dr. Paulo de Oliveira e Silva encaminha a esta Casa de Leis o Projeto de Lei nº 20/2024, que </w:t>
      </w:r>
      <w:r>
        <w:rPr>
          <w:rFonts w:ascii="Calibri" w:hAnsi="Calibri"/>
          <w:i/>
          <w:iCs/>
          <w:color w:val="000000"/>
          <w:sz w:val="24"/>
          <w:szCs w:val="24"/>
        </w:rPr>
        <w:t>“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>DISPÕE SOBRE A ABERTURA DE CRÉDITO ADICIONAL ESPECIAL SUPLEMENTAR, POR EXCESSO DE ARRECADAÇÃO, DE DOTAÇÕES ORÇAMENTÁRIAS, NO VALOR DE R$ 1.207.797,20”.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</w:r>
    </w:p>
    <w:p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O Projeto de Lei busca a autorização legislativa desta Casa de Leis para a abertura de crédito Adicional Especial Suplementar, por excesso de arrecadação  da Secretaria Municipal de Educação, a pedido da Secretária Ana </w:t>
      </w:r>
      <w:r>
        <w:rPr>
          <w:rFonts w:ascii="Calibri" w:eastAsia="Arial" w:hAnsi="Calibri" w:cs="Arial"/>
          <w:color w:val="000000"/>
          <w:sz w:val="22"/>
          <w:szCs w:val="22"/>
        </w:rPr>
        <w:t>L</w:t>
      </w:r>
      <w:r>
        <w:rPr>
          <w:rFonts w:ascii="Calibri" w:eastAsia="Arial" w:hAnsi="Calibri" w:cs="Arial"/>
          <w:color w:val="000000"/>
          <w:sz w:val="22"/>
          <w:szCs w:val="22"/>
        </w:rPr>
        <w:t>úcia Bueno Peruchi, em virtude de recursos destinados para estabelecer as estimativas, os valores, as aplicações e os cronogramas de desembolso das complementações da União ao Fundo de Manutenção e Desenvolvimento da Educação Básica e de Valorização dos Profissionais da Educação para o exercício de 2024, na modalidade Valor Anual por Aluno, decorrente de complementação VAAR, conforme portaria MEC/MF nr. 06, de 28 de Dezembro de 2023..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>Importante destacar que tal valor contemplado pelo Ministério da Educação é proveniente de atingimento de indicador VAAR (Valor Aluno Ano Resultado) que são aferidos através das seguintes  condicionalidades: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As condicionalidades do VAAR são: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• 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Escolha do gestor escolar conforme critérios técnicos e com participação da comunidade escolar;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• 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Participação de pelo menos 80% em exames nacionais do sistema nacional de avaliação da educação básica (Desempenho do SAEB – em Língua Portuguesa e Matemática – 5º ao 9º anos do Ensino Fundamental e 3º do Ensino Médio , este oferecido pela Rede Estadual);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• 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Redução das desigualdades conforme nível socioeconômico, raça/cor, desempenho e outras especificidades;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 xml:space="preserve">• 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Repartição do ICMS Educação; • Ter referenciais curriculares alinhados à BNCC. Os indicadores VAAF, VAAT e VAAR reforçam o compromisso com a qualidade da educação referendado na BNCC e a transparência na gestão.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>O fundo Fundeb e seus indicadores VAAF, VAAT e VAAR são importantes para garantir a qualidade e equidade no acesso às escolas e promover a evolução da educação no país,  e sabidamente os valores repassados pelo Ministério não são suficientes para os gastos de pessoal das Prefeituras, e nesse caso, o valor será utilizado através da Ficha 01.43.3.1.90.11 – Vencimentos e Vantagens Fixas – Pessoal Civil.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 xml:space="preserve">Registro de condicionalidades do VAAR/Fundeb: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 xml:space="preserve">Entes federados devem comprovar, no Simec, condicionalidades para recebimento de recursos do Valor Aluno Ano por Resultado – Fundeb. Condicionalidades :– As condicionalidades são requisitos de melhorias de gestão, ações que os municípios e estados precisam fazer para ter direito de receber recursos do VAAR.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 xml:space="preserve">O Valor Aluno Ano Resultado, por sua vez, é um valor transferido pelo governo federal, junto ao Fundeb, para as redes que promoverem melhoria de gestão e alcançarem resultados de redução de desigualdades educacionais. Conforme a Lei do Fundeb: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</w:r>
      <w:r>
        <w:rPr>
          <w:rFonts w:ascii="Calibri" w:eastAsia="Arial" w:hAnsi="Calibri" w:cs="Arial"/>
          <w:b/>
          <w:bCs/>
          <w:color w:val="000000"/>
          <w:sz w:val="22"/>
          <w:szCs w:val="22"/>
          <w:u w:val="single"/>
        </w:rPr>
        <w:t>Condicionalidade I :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trata do “provimento do cargo ou função de gestor escolar de acordo com critérios técnicos de mérito e desempenho ou a partir da escolha realizada com a participação da comunidade escolar dentre candidatos aprovados previamente em avaliação de mérito e desempenho”. Esse item deve ser comprovado pelos estados, municípios e pelo Distrito Federal. </w:t>
      </w:r>
      <w:r>
        <w:rPr>
          <w:rFonts w:ascii="Calibri" w:eastAsia="Arial" w:hAnsi="Calibri" w:cs="Arial"/>
          <w:b/>
          <w:bCs/>
          <w:color w:val="000000"/>
          <w:sz w:val="22"/>
          <w:szCs w:val="22"/>
        </w:rPr>
        <w:t xml:space="preserve">( Mogi Mirim por Concurso de provas e títulos).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b/>
          <w:bCs/>
          <w:color w:val="000000"/>
          <w:sz w:val="22"/>
          <w:szCs w:val="22"/>
          <w:u w:val="none"/>
        </w:rPr>
        <w:tab/>
      </w:r>
      <w:r>
        <w:rPr>
          <w:rFonts w:ascii="Calibri" w:eastAsia="Arial" w:hAnsi="Calibri" w:cs="Arial"/>
          <w:b/>
          <w:bCs/>
          <w:color w:val="000000"/>
          <w:sz w:val="22"/>
          <w:szCs w:val="22"/>
          <w:u w:val="single"/>
        </w:rPr>
        <w:t>Condicionalidade V :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exige que estados, municípios e Distrito Federal tenham referenciais curriculares alinhados à Base Nacional Comum Curricular (BNCC), aprovados nos termos do respectivo sistema de ensino. (OBS: Condicionalidade IV deve ser comprovada apenas pelos estados) </w:t>
      </w:r>
    </w:p>
    <w:p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>Portanto, a inserção de nossa cidade junto aos demais Municípios que receberam complementação de verbas por meio do FUNDEB- VAAR ( Valor Aluno Ano Resultado) é uma conquista representada pela evolução dos índices que verificam o atingimento de metas do Ministério da Educação, ainda mais quando verificamos ser a única cidade de nossa micro região que foi contemplada com os repasses dos valores.</w:t>
      </w:r>
    </w:p>
    <w:p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III. Substitutivos, Emendas ou subemendas ao Projeto</w:t>
      </w:r>
    </w:p>
    <w:p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 Relatoria não apresenta nenhuma emenda ao Projeto de Lei em dest</w:t>
      </w:r>
      <w:r>
        <w:rPr>
          <w:rFonts w:ascii="Calibri" w:hAnsi="Calibri"/>
          <w:color w:val="000000"/>
          <w:sz w:val="22"/>
          <w:szCs w:val="22"/>
        </w:rPr>
        <w:t>a</w:t>
      </w:r>
      <w:r>
        <w:rPr>
          <w:rFonts w:ascii="Calibri" w:hAnsi="Calibri"/>
          <w:color w:val="000000"/>
          <w:sz w:val="22"/>
          <w:szCs w:val="22"/>
        </w:rPr>
        <w:t>que.</w:t>
      </w:r>
    </w:p>
    <w:p>
      <w:pPr>
        <w:pStyle w:val="BodyText"/>
        <w:spacing w:before="240" w:after="0" w:line="240" w:lineRule="auto"/>
        <w:jc w:val="both"/>
        <w:rPr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IV. Decisão da Relatora</w:t>
      </w:r>
    </w:p>
    <w:p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  <w:t>P</w:t>
      </w:r>
      <w:r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ortanto, esta Relatoria considera que a presente propositura não apresenta vícios de constitucionalidade, está amparada pelos preceitos legais e corresponde aos anseios da sociedade, recebendo </w:t>
      </w:r>
      <w:r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  <w:t>PARECER FAVORÁVEL</w:t>
      </w:r>
      <w:r>
        <w:rPr>
          <w:rFonts w:ascii="Calibri" w:hAnsi="Calibri"/>
          <w:b/>
          <w:bCs/>
          <w:color w:val="000000"/>
          <w:sz w:val="22"/>
          <w:szCs w:val="22"/>
        </w:rPr>
        <w:t>.</w:t>
      </w:r>
    </w:p>
    <w:p>
      <w:pPr>
        <w:pStyle w:val="BodyText"/>
        <w:spacing w:before="240" w:after="0" w:line="240" w:lineRule="auto"/>
        <w:jc w:val="center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  <w:shd w:val="clear" w:color="auto" w:fill="FFFFFF"/>
        </w:rPr>
        <w:t>Sala das Comissões, em 14 de fevereiro de 2024.</w:t>
      </w:r>
    </w:p>
    <w:p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2036445</wp:posOffset>
            </wp:positionH>
            <wp:positionV relativeFrom="paragraph">
              <wp:posOffset>27940</wp:posOffset>
            </wp:positionV>
            <wp:extent cx="1648460" cy="60706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7100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Vereadora Luzia Cristina Cortes Nogueira</w:t>
      </w:r>
    </w:p>
    <w:p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Relatora </w:t>
      </w:r>
    </w:p>
    <w:p>
      <w:pPr>
        <w:overflowPunct/>
        <w:rPr>
          <w:sz w:val="24"/>
          <w:szCs w:val="24"/>
        </w:rPr>
      </w:pPr>
    </w:p>
    <w:p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PARECER CONJUNTO DA COMISSÃO DE JUSTIÇA E REDAÇÃO; COMISSÃO DE </w:t>
      </w:r>
      <w:r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EDUCAÇÃO, SAÚDE, CULTURA, ESPORTE E ASSISTÊNCIA SOCIAL</w:t>
      </w:r>
      <w:r>
        <w:rPr>
          <w:rFonts w:ascii="Calibri" w:hAnsi="Calibri"/>
          <w:b/>
          <w:color w:val="000000"/>
          <w:sz w:val="24"/>
          <w:szCs w:val="24"/>
        </w:rPr>
        <w:t xml:space="preserve"> E COMISSÃO DE FINANÇAS E ORÇAMENTO, ao Projeto de Lei20/2024, de autoria do Senhor Prefeito Municipal Dr. Paulo de Oliveira e Silva, 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>que “DISPÕE SOBRE A ABERTURA DE CRÉDITO ADICIONAL ESPECIAL SUPLEMENTAR, POR EXCESSO DE ARRECADAÇÃO, DE DOTAÇÕES ORÇAMENTÁRIAS, NO VALOR DE R$ 1.207.797,20”.</w:t>
      </w:r>
    </w:p>
    <w:p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>
      <w:pPr>
        <w:pStyle w:val="BodyText"/>
        <w:spacing w:line="240" w:lineRule="auto"/>
        <w:ind w:firstLine="708"/>
        <w:jc w:val="both"/>
        <w:rPr>
          <w:rFonts w:ascii="Calibri" w:hAnsi="Calibri"/>
          <w:color w:val="000000"/>
          <w:sz w:val="24"/>
          <w:szCs w:val="18"/>
        </w:rPr>
      </w:pPr>
      <w:r>
        <w:rPr>
          <w:rFonts w:ascii="Calibri" w:hAnsi="Calibri"/>
          <w:color w:val="000000"/>
          <w:sz w:val="24"/>
          <w:szCs w:val="18"/>
        </w:rPr>
        <w:t xml:space="preserve">Seguindo o Voto exarado pela Relatora e conforme determinam os artigos 35, 37e 39 da Resolução n.º 276 de 09 de novembro de 2.010, </w:t>
      </w:r>
      <w:r>
        <w:rPr>
          <w:rFonts w:ascii="Calibri" w:hAnsi="Calibri"/>
          <w:color w:val="000000"/>
          <w:sz w:val="24"/>
          <w:szCs w:val="24"/>
        </w:rPr>
        <w:t>as Comissões Permanentes de Justiça e Redação; Educação, Saúde, Cultura, Esportes e Assistência Social  e de Finanças e Orçamento</w:t>
      </w:r>
      <w:r>
        <w:rPr>
          <w:rFonts w:ascii="Calibri" w:hAnsi="Calibri"/>
          <w:color w:val="000000"/>
          <w:sz w:val="24"/>
          <w:szCs w:val="18"/>
        </w:rPr>
        <w:t xml:space="preserve">, formalizam o presente </w:t>
      </w:r>
      <w:r>
        <w:rPr>
          <w:rFonts w:ascii="Calibri" w:hAnsi="Calibri"/>
          <w:b/>
          <w:color w:val="000000"/>
          <w:sz w:val="24"/>
          <w:szCs w:val="18"/>
        </w:rPr>
        <w:t>PARECER FAVORÁVEL</w:t>
      </w:r>
      <w:r>
        <w:rPr>
          <w:rFonts w:ascii="Calibri" w:hAnsi="Calibri"/>
          <w:color w:val="000000"/>
          <w:sz w:val="24"/>
          <w:szCs w:val="18"/>
        </w:rPr>
        <w:t>.</w:t>
      </w:r>
    </w:p>
    <w:p>
      <w:pPr>
        <w:pStyle w:val="BodyText"/>
        <w:spacing w:line="240" w:lineRule="auto"/>
        <w:ind w:firstLine="708"/>
        <w:jc w:val="both"/>
        <w:rPr>
          <w:sz w:val="18"/>
          <w:szCs w:val="18"/>
        </w:rPr>
      </w:pPr>
    </w:p>
    <w:p>
      <w:pPr>
        <w:pStyle w:val="BodyText"/>
        <w:spacing w:before="240" w:after="0" w:line="240" w:lineRule="auto"/>
        <w:jc w:val="center"/>
        <w:rPr>
          <w:sz w:val="18"/>
          <w:szCs w:val="18"/>
        </w:rPr>
      </w:pPr>
      <w:r>
        <w:rPr>
          <w:rFonts w:ascii="Calibri" w:hAnsi="Calibri"/>
          <w:color w:val="000000"/>
          <w:sz w:val="24"/>
          <w:szCs w:val="18"/>
          <w:shd w:val="clear" w:color="auto" w:fill="FFFFFF"/>
        </w:rPr>
        <w:t>Sala das Comissões, em 22 de fevereiro de 2024.</w:t>
      </w:r>
    </w:p>
    <w:p>
      <w:pPr>
        <w:pStyle w:val="BodyText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/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ADEMIR SOUZA FLORETTI JUNIOR</w:t>
      </w:r>
    </w:p>
    <w:p>
      <w:pPr>
        <w:jc w:val="center"/>
        <w:rPr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MARCIO EVANDRO RIBEIRO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EDUCAÇÃO, SAÚDE, CULTURA, ESPORTE E ASSISTÊNCIA SOCIAL.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LUZIA CRISTINA CORTES NOGUEIRA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LÚCIA MARIA FERREIRA TENÓRIO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JOELMA FRANCO DA CUNHA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>
      <w:pPr>
        <w:jc w:val="center"/>
        <w:rPr>
          <w:sz w:val="18"/>
          <w:szCs w:val="18"/>
        </w:rPr>
      </w:pP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LUZIA CRISTINA CORTES NOGUEIRA</w:t>
      </w:r>
    </w:p>
    <w:p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Membro/R</w:t>
      </w: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elatora</w:t>
      </w:r>
    </w:p>
    <w:sectPr>
      <w:headerReference w:type="default" r:id="rId6"/>
      <w:footerReference w:type="default" r:id="rId7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219735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4445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3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6.75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Projeto de Lei 20/2024 – Relatório e Parecer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EEF6-D793-4D07-82D1-96607A10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962</Words>
  <Characters>5442</Characters>
  <Application>Microsoft Office Word</Application>
  <DocSecurity>0</DocSecurity>
  <Lines>0</Lines>
  <Paragraphs>56</Paragraphs>
  <ScaleCrop>false</ScaleCrop>
  <Company>Camara Municipal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42</cp:revision>
  <cp:lastPrinted>2024-02-22T15:17:25Z</cp:lastPrinted>
  <dcterms:created xsi:type="dcterms:W3CDTF">2024-02-14T16:42:00Z</dcterms:created>
  <dcterms:modified xsi:type="dcterms:W3CDTF">2024-02-22T12:07:30Z</dcterms:modified>
  <dc:language>pt-BR</dc:language>
</cp:coreProperties>
</file>