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B7" w:rsidRPr="00573B5B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3B5B">
        <w:rPr>
          <w:rFonts w:ascii="Arial" w:hAnsi="Arial" w:cs="Arial"/>
          <w:b/>
          <w:sz w:val="24"/>
          <w:szCs w:val="24"/>
        </w:rPr>
        <w:t>Parecer Nº 1 ao Projeto de Lei Nº 13/2024</w:t>
      </w:r>
    </w:p>
    <w:p w:rsidR="000C19B7" w:rsidRPr="00573B5B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Lei n.º </w:t>
      </w:r>
      <w:r>
        <w:rPr>
          <w:rFonts w:ascii="Arial" w:hAnsi="Arial" w:cs="Arial"/>
          <w:b/>
          <w:sz w:val="24"/>
          <w:szCs w:val="24"/>
        </w:rPr>
        <w:t>13</w:t>
      </w:r>
      <w:r w:rsidRPr="00573B5B">
        <w:rPr>
          <w:rFonts w:ascii="Arial" w:hAnsi="Arial" w:cs="Arial"/>
          <w:b/>
          <w:sz w:val="24"/>
          <w:szCs w:val="24"/>
        </w:rPr>
        <w:t xml:space="preserve">/2024 </w:t>
      </w:r>
    </w:p>
    <w:p w:rsidR="000C19B7" w:rsidRPr="00573B5B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24</w:t>
      </w:r>
      <w:r w:rsidRPr="00573B5B">
        <w:rPr>
          <w:rFonts w:ascii="Arial" w:hAnsi="Arial" w:cs="Arial"/>
          <w:b/>
          <w:sz w:val="24"/>
          <w:szCs w:val="24"/>
        </w:rPr>
        <w:t>/2024</w:t>
      </w:r>
    </w:p>
    <w:p w:rsidR="000C19B7" w:rsidRPr="0077753C" w:rsidP="000C19B7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0C19B7" w:rsidRPr="0077753C" w:rsidP="000C19B7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0C19B7" w:rsidRPr="00573B5B" w:rsidP="000C19B7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Conforme determinam os artigos 35, 37 e 39 combinados com artigo 45 da Resolução 276 de 09 de novembro de 2010 – Regimento Interno da Câmara Municipal, a Comissão Permanente de Justiça e Redação, conjuntamente com as Comissões Permanentes de Educação, Saúde, Cultura, Esportes e Assistência Social</w:t>
      </w:r>
      <w:r>
        <w:rPr>
          <w:rFonts w:ascii="Arial" w:hAnsi="Arial" w:cs="Arial"/>
          <w:sz w:val="24"/>
          <w:szCs w:val="24"/>
        </w:rPr>
        <w:t>;</w:t>
      </w:r>
      <w:r w:rsidRPr="00573B5B">
        <w:rPr>
          <w:rFonts w:ascii="Arial" w:hAnsi="Arial" w:cs="Arial"/>
          <w:sz w:val="24"/>
          <w:szCs w:val="24"/>
        </w:rPr>
        <w:t xml:space="preserve"> Obras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Serviços Públicos e Atividades Privadas</w:t>
      </w:r>
      <w:r>
        <w:rPr>
          <w:rFonts w:ascii="Arial" w:hAnsi="Arial" w:cs="Arial"/>
          <w:sz w:val="24"/>
          <w:szCs w:val="24"/>
        </w:rPr>
        <w:t>;</w:t>
      </w:r>
      <w:r w:rsidRPr="00573B5B">
        <w:rPr>
          <w:rFonts w:ascii="Arial" w:hAnsi="Arial" w:cs="Arial"/>
          <w:sz w:val="24"/>
          <w:szCs w:val="24"/>
        </w:rPr>
        <w:t xml:space="preserve"> e Finanças e Orçamento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emitem o presente Relatóri</w:t>
      </w:r>
      <w:r>
        <w:rPr>
          <w:rFonts w:ascii="Arial" w:hAnsi="Arial" w:cs="Arial"/>
          <w:sz w:val="24"/>
          <w:szCs w:val="24"/>
        </w:rPr>
        <w:t>o acerca do Projeto de Lei nº 13</w:t>
      </w:r>
      <w:r w:rsidRPr="00573B5B">
        <w:rPr>
          <w:rFonts w:ascii="Arial" w:hAnsi="Arial" w:cs="Arial"/>
          <w:sz w:val="24"/>
          <w:szCs w:val="24"/>
        </w:rPr>
        <w:t xml:space="preserve"> de 2024, de autoria </w:t>
      </w:r>
      <w:r>
        <w:rPr>
          <w:rFonts w:ascii="Arial" w:hAnsi="Arial" w:cs="Arial"/>
          <w:sz w:val="24"/>
          <w:szCs w:val="24"/>
        </w:rPr>
        <w:t>vereadora Joelma Franco da Cunha.</w:t>
      </w:r>
    </w:p>
    <w:p w:rsidR="000C19B7" w:rsidRPr="00573B5B" w:rsidP="000C19B7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0C19B7" w:rsidRPr="00573B5B" w:rsidP="000C19B7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  <w:t xml:space="preserve">Tendo como relator o </w:t>
      </w:r>
      <w:r w:rsidRPr="00D840B7">
        <w:rPr>
          <w:rFonts w:ascii="Arial" w:hAnsi="Arial" w:cs="Arial"/>
          <w:b/>
          <w:sz w:val="24"/>
          <w:szCs w:val="24"/>
        </w:rPr>
        <w:t xml:space="preserve">Vereador 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>, Vice-presidente da Comissão de Justiça e Redação.</w:t>
      </w:r>
    </w:p>
    <w:p w:rsidR="000C19B7" w:rsidRPr="0077753C" w:rsidP="000C19B7">
      <w:pPr>
        <w:pStyle w:val="Standard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C19B7" w:rsidP="000C19B7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0C19B7" w:rsidRPr="0077753C" w:rsidP="000C19B7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0C19B7" w:rsidRPr="0077753C" w:rsidP="000C19B7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De autoria </w:t>
      </w:r>
      <w:r>
        <w:rPr>
          <w:rFonts w:ascii="Arial" w:hAnsi="Arial" w:cs="Arial"/>
          <w:sz w:val="24"/>
          <w:szCs w:val="24"/>
        </w:rPr>
        <w:t xml:space="preserve">da nobre vereadora </w:t>
      </w:r>
      <w:r>
        <w:rPr>
          <w:rFonts w:ascii="Arial" w:hAnsi="Arial" w:cs="Arial"/>
          <w:sz w:val="24"/>
          <w:szCs w:val="24"/>
        </w:rPr>
        <w:t>Joelma Franco da Cunha</w:t>
      </w:r>
      <w:r>
        <w:rPr>
          <w:rFonts w:ascii="Arial" w:hAnsi="Arial" w:cs="Arial"/>
          <w:color w:val="000000"/>
          <w:sz w:val="24"/>
          <w:szCs w:val="24"/>
        </w:rPr>
        <w:t>, o Projeto de Lei n° 13</w:t>
      </w:r>
      <w:r>
        <w:rPr>
          <w:rFonts w:ascii="Arial" w:hAnsi="Arial" w:cs="Arial"/>
          <w:color w:val="000000"/>
          <w:sz w:val="24"/>
          <w:szCs w:val="24"/>
        </w:rPr>
        <w:t>/2024</w:t>
      </w:r>
      <w:r>
        <w:rPr>
          <w:rFonts w:ascii="Arial" w:hAnsi="Arial" w:cs="Arial"/>
          <w:color w:val="000000"/>
          <w:sz w:val="24"/>
          <w:szCs w:val="24"/>
        </w:rPr>
        <w:t xml:space="preserve"> que </w:t>
      </w:r>
      <w:r w:rsidRPr="000C19B7">
        <w:rPr>
          <w:rFonts w:ascii="Arial" w:hAnsi="Arial" w:cs="Arial"/>
          <w:b/>
          <w:i/>
          <w:color w:val="000000"/>
          <w:sz w:val="24"/>
          <w:szCs w:val="24"/>
        </w:rPr>
        <w:t>“Dispõe sobre a proibição de exclusão de comentários e bloqueio de usuários nas páginas oficiais da Administração Pública Municipal nas redes sociais e adota outras providências</w:t>
      </w:r>
      <w:r w:rsidRPr="000C19B7">
        <w:rPr>
          <w:rFonts w:ascii="Arial" w:hAnsi="Arial" w:cs="Arial"/>
          <w:b/>
          <w:i/>
          <w:color w:val="000000"/>
          <w:sz w:val="24"/>
          <w:szCs w:val="24"/>
        </w:rPr>
        <w:t>”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0C19B7" w:rsidP="000C19B7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0C19B7" w:rsidRPr="0077753C" w:rsidP="000C19B7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0C19B7" w:rsidP="000C19B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C19B7">
        <w:rPr>
          <w:rFonts w:ascii="Arial" w:hAnsi="Arial" w:cs="Arial"/>
          <w:color w:val="000000"/>
          <w:sz w:val="24"/>
          <w:szCs w:val="24"/>
        </w:rPr>
        <w:t xml:space="preserve">Preliminarmente, é importante mencionar que é legalmente facultado ao município a iniciativa de suplementar a legislação federal e estadual no que couber (art. 30, II, da Constituição Federal), havendo interesse local, vejamos: </w:t>
      </w:r>
    </w:p>
    <w:p w:rsidR="000C19B7" w:rsidP="000C19B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0C19B7" w:rsidRPr="000C19B7" w:rsidP="000C19B7">
      <w:pPr>
        <w:pStyle w:val="Textbody"/>
        <w:spacing w:before="240" w:line="240" w:lineRule="auto"/>
        <w:ind w:left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C19B7">
        <w:rPr>
          <w:rFonts w:ascii="Arial" w:hAnsi="Arial" w:cs="Arial"/>
          <w:i/>
          <w:color w:val="000000"/>
          <w:sz w:val="24"/>
          <w:szCs w:val="24"/>
        </w:rPr>
        <w:t xml:space="preserve">“Art. 24. Compete à União, aos Estados e ao Distrito Federal legislar concorrentemente sobre: </w:t>
      </w:r>
    </w:p>
    <w:p w:rsidR="000C19B7" w:rsidP="000C19B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C19B7">
        <w:rPr>
          <w:rFonts w:ascii="Arial" w:hAnsi="Arial" w:cs="Arial"/>
          <w:i/>
          <w:color w:val="000000"/>
          <w:sz w:val="24"/>
          <w:szCs w:val="24"/>
        </w:rPr>
        <w:t xml:space="preserve">(...) </w:t>
      </w:r>
    </w:p>
    <w:p w:rsidR="000C19B7" w:rsidRPr="000C19B7" w:rsidP="000C19B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C19B7">
        <w:rPr>
          <w:rFonts w:ascii="Arial" w:hAnsi="Arial" w:cs="Arial"/>
          <w:i/>
          <w:color w:val="000000"/>
          <w:sz w:val="24"/>
          <w:szCs w:val="24"/>
        </w:rPr>
        <w:t xml:space="preserve">XII - previdência social, proteção e defesa da </w:t>
      </w:r>
      <w:r w:rsidRPr="000C19B7">
        <w:rPr>
          <w:rFonts w:ascii="Arial" w:hAnsi="Arial" w:cs="Arial"/>
          <w:i/>
          <w:color w:val="000000"/>
          <w:sz w:val="24"/>
          <w:szCs w:val="24"/>
        </w:rPr>
        <w:t>saúde;”</w:t>
      </w:r>
      <w:r w:rsidRPr="000C19B7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0C19B7" w:rsidRPr="000C19B7" w:rsidP="000C19B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C19B7">
        <w:rPr>
          <w:rFonts w:ascii="Arial" w:hAnsi="Arial" w:cs="Arial"/>
          <w:i/>
          <w:color w:val="000000"/>
          <w:sz w:val="24"/>
          <w:szCs w:val="24"/>
        </w:rPr>
        <w:t xml:space="preserve">“Art. 30. Compete aos Municípios: </w:t>
      </w:r>
    </w:p>
    <w:p w:rsidR="000C19B7" w:rsidRPr="000C19B7" w:rsidP="000C19B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  <w:r w:rsidRPr="000C19B7">
        <w:rPr>
          <w:rFonts w:ascii="Arial" w:hAnsi="Arial" w:cs="Arial"/>
          <w:b/>
          <w:i/>
          <w:color w:val="000000"/>
          <w:sz w:val="24"/>
          <w:szCs w:val="24"/>
        </w:rPr>
        <w:t xml:space="preserve">I - </w:t>
      </w:r>
      <w:r w:rsidRPr="000C19B7">
        <w:rPr>
          <w:rFonts w:ascii="Arial" w:hAnsi="Arial" w:cs="Arial"/>
          <w:b/>
          <w:i/>
          <w:color w:val="000000"/>
          <w:sz w:val="24"/>
          <w:szCs w:val="24"/>
        </w:rPr>
        <w:t>legislar</w:t>
      </w:r>
      <w:r w:rsidRPr="000C19B7">
        <w:rPr>
          <w:rFonts w:ascii="Arial" w:hAnsi="Arial" w:cs="Arial"/>
          <w:b/>
          <w:i/>
          <w:color w:val="000000"/>
          <w:sz w:val="24"/>
          <w:szCs w:val="24"/>
        </w:rPr>
        <w:t xml:space="preserve"> sobre assuntos de interesse local; </w:t>
      </w:r>
    </w:p>
    <w:p w:rsidR="000C19B7" w:rsidP="000C19B7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19B7">
        <w:rPr>
          <w:rFonts w:ascii="Arial" w:hAnsi="Arial" w:cs="Arial"/>
          <w:i/>
          <w:color w:val="000000"/>
          <w:sz w:val="24"/>
          <w:szCs w:val="24"/>
        </w:rPr>
        <w:t xml:space="preserve">II - suplementar a legislação federal e a estadual no que </w:t>
      </w:r>
      <w:r w:rsidRPr="000C19B7">
        <w:rPr>
          <w:rFonts w:ascii="Arial" w:hAnsi="Arial" w:cs="Arial"/>
          <w:i/>
          <w:color w:val="000000"/>
          <w:sz w:val="24"/>
          <w:szCs w:val="24"/>
        </w:rPr>
        <w:t>couber;”</w:t>
      </w:r>
      <w:r w:rsidRPr="000C19B7">
        <w:rPr>
          <w:rFonts w:ascii="Arial" w:hAnsi="Arial" w:cs="Arial"/>
          <w:i/>
          <w:color w:val="000000"/>
          <w:sz w:val="24"/>
          <w:szCs w:val="24"/>
        </w:rPr>
        <w:t xml:space="preserve"> (Grifo Nosso).</w:t>
      </w:r>
      <w:r w:rsidRPr="0077753C">
        <w:rPr>
          <w:rFonts w:ascii="Arial" w:hAnsi="Arial" w:cs="Arial"/>
          <w:sz w:val="24"/>
          <w:szCs w:val="24"/>
        </w:rPr>
        <w:tab/>
      </w:r>
    </w:p>
    <w:p w:rsidR="000C19B7" w:rsidP="00926A21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26A21">
        <w:rPr>
          <w:rFonts w:ascii="Arial" w:hAnsi="Arial" w:cs="Arial"/>
          <w:sz w:val="24"/>
          <w:szCs w:val="24"/>
        </w:rPr>
        <w:t>O próprio STF quando do julgamento da ADPF n.º 672, de 13 de outubro de 2020, assegurou a competência concorrente entre os entes cada qual no exercício das atribuições e dentro de seus respectivos territórios.</w:t>
      </w:r>
    </w:p>
    <w:p w:rsidR="00926A21" w:rsidP="00926A21">
      <w:pPr>
        <w:pStyle w:val="Textbody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Verifica-se a competência para legislar sobre o assunto ora objeto do presente projeto de lei, por tratar-se de assunto de interesse local. </w:t>
      </w:r>
    </w:p>
    <w:p w:rsidR="00926A21" w:rsidP="00926A21">
      <w:pPr>
        <w:pStyle w:val="Textbody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 referido projeto também não fere o Princípio da Separação dos Poderes, previsto no artigo 2º da CRFB, visto que não cria atribuições ou competências para o Executivo, correspondendo ao legal exercício da função legislativa. </w:t>
      </w:r>
    </w:p>
    <w:p w:rsidR="00926A21" w:rsidP="00926A21">
      <w:pPr>
        <w:pStyle w:val="Textbody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A jurisprudência aplicável entende que a regulação da publicidade de atos públicos é matéria de iniciativa comum entre chefes do poder executivo e membros do poder legislativo </w:t>
      </w:r>
      <w:r w:rsidRPr="00926A21">
        <w:rPr>
          <w:rFonts w:ascii="Arial" w:eastAsia="Arial" w:hAnsi="Arial" w:cs="Arial"/>
          <w:i/>
          <w:color w:val="000000"/>
          <w:sz w:val="24"/>
          <w:szCs w:val="24"/>
        </w:rPr>
        <w:t xml:space="preserve">(vide STF – RE n. 613481 – Rel. Ministro Dias </w:t>
      </w:r>
      <w:r w:rsidRPr="00926A21">
        <w:rPr>
          <w:rFonts w:ascii="Arial" w:eastAsia="Arial" w:hAnsi="Arial" w:cs="Arial"/>
          <w:i/>
          <w:color w:val="000000"/>
          <w:sz w:val="24"/>
          <w:szCs w:val="24"/>
        </w:rPr>
        <w:t>Toffoli</w:t>
      </w:r>
      <w:r w:rsidRPr="00926A21">
        <w:rPr>
          <w:rFonts w:ascii="Arial" w:eastAsia="Arial" w:hAnsi="Arial" w:cs="Arial"/>
          <w:i/>
          <w:color w:val="000000"/>
          <w:sz w:val="24"/>
          <w:szCs w:val="24"/>
        </w:rPr>
        <w:t>, STF – RE n. 770.329/SP – Rel. Ministro Roberto Barroso).</w:t>
      </w: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926A21" w:rsidP="00926A21">
      <w:pPr>
        <w:pStyle w:val="Textbody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Assim, o controle de mensagens e usuários em redes sociais, inclusive aquelas geridas pelo Executivo, podem ser objeto de controle por parte do Legislativo. </w:t>
      </w:r>
    </w:p>
    <w:p w:rsidR="00926A21" w:rsidRPr="00926A21" w:rsidP="00926A21">
      <w:pPr>
        <w:pStyle w:val="Textbody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>Neste diapasão, o Projeto de Lei em comento é totalmente válido, pois visa suplementar a legislação no tocante à liberdade de expressão, corroborando com o prévio acesso de informações essenciais no âmbito da administração pública municipal.</w:t>
      </w:r>
    </w:p>
    <w:p w:rsidR="00926A21" w:rsidP="00926A21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O escopo do presente projeto de lei é impedir no âmbito da administração municipal, a prática de censura de usuários e de expressões nas páginas oficiais, desde que não haja violação dos termos de uso das redes sociais. </w:t>
      </w:r>
    </w:p>
    <w:p w:rsidR="00926A21" w:rsidP="00926A21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O Poder Público deve zelar pela impessoalidade dos atos da administração pública, de maneira especial porque as páginas oficiais refletem e representam o município, não o gestor. </w:t>
      </w:r>
    </w:p>
    <w:p w:rsidR="00926A21" w:rsidRPr="00926A21" w:rsidP="00926A21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>Conforme consta na justificativa as redes sociais hoje cumprem parte importante no papel de comunicação entre o poder público e o cidadão. O cidadão não pode ser apenas o sujeito passivo receptor das informações. As redes sociais permitem justamente que o cidadão ganhe voz e deste modo aumenta as chances de as demandas coletivas e comunitárias serem atendidas.</w:t>
      </w:r>
    </w:p>
    <w:p w:rsidR="00926A21" w:rsidP="00926A21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>Entretanto, para isso não pode oco</w:t>
      </w:r>
      <w:r>
        <w:rPr>
          <w:rFonts w:ascii="Arial" w:eastAsia="Arial" w:hAnsi="Arial" w:cs="Arial"/>
          <w:color w:val="000000"/>
          <w:sz w:val="24"/>
          <w:szCs w:val="24"/>
        </w:rPr>
        <w:t>rrer a censura prévia dos meios de</w:t>
      </w: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 comunicação para com os cidadãos. </w:t>
      </w:r>
    </w:p>
    <w:p w:rsidR="00926A21" w:rsidRPr="00926A21" w:rsidP="00926A21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26A21">
        <w:rPr>
          <w:rFonts w:ascii="Arial" w:eastAsia="Arial" w:hAnsi="Arial" w:cs="Arial"/>
          <w:color w:val="000000"/>
          <w:sz w:val="24"/>
          <w:szCs w:val="24"/>
        </w:rPr>
        <w:t>A administração pública não deve cercear os munícipes em usar de um canal para reclamar e/ou criticar. Ficam demonstradas, assim, a conveniência, relevância e oportunidade da matéria tratada e constata-se que a medida corresponde às exigências de mérito, estando em condições de ser aprovada no que diz respeito aos aspectos que cumpre</w:t>
      </w:r>
      <w:r w:rsidR="00642DA4">
        <w:rPr>
          <w:rFonts w:ascii="Arial" w:eastAsia="Arial" w:hAnsi="Arial" w:cs="Arial"/>
          <w:color w:val="000000"/>
          <w:sz w:val="24"/>
          <w:szCs w:val="24"/>
        </w:rPr>
        <w:t>m</w:t>
      </w:r>
      <w:r w:rsidRPr="00926A21">
        <w:rPr>
          <w:rFonts w:ascii="Arial" w:eastAsia="Arial" w:hAnsi="Arial" w:cs="Arial"/>
          <w:color w:val="000000"/>
          <w:sz w:val="24"/>
          <w:szCs w:val="24"/>
        </w:rPr>
        <w:t xml:space="preserve"> a esta</w:t>
      </w:r>
      <w:r w:rsidR="00642DA4">
        <w:rPr>
          <w:rFonts w:ascii="Arial" w:eastAsia="Arial" w:hAnsi="Arial" w:cs="Arial"/>
          <w:color w:val="000000"/>
          <w:sz w:val="24"/>
          <w:szCs w:val="24"/>
        </w:rPr>
        <w:t>s Comissões analisarem.</w:t>
      </w:r>
    </w:p>
    <w:p w:rsidR="00926A21" w:rsidP="000C19B7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26A21" w:rsidP="000C19B7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C19B7" w:rsidRPr="0077753C" w:rsidP="000C19B7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0C19B7" w:rsidRPr="0077753C" w:rsidP="000C19B7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>Esta relatoria não propõe emendas ao Projeto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Lei</w:t>
      </w:r>
      <w:r w:rsidRPr="007775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C19B7" w:rsidRPr="0077753C" w:rsidP="000C19B7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C19B7" w:rsidRPr="0077753C" w:rsidP="000C19B7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0C19B7" w:rsidRPr="0077753C" w:rsidP="000C19B7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constitucionalidade, está amparada pelos preceitos legais e corresponde aos anseios da sociedade, recebendo </w:t>
      </w:r>
      <w:r w:rsidRPr="000165F8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2C4EEF">
        <w:rPr>
          <w:rFonts w:ascii="Arial" w:hAnsi="Arial" w:cs="Arial"/>
          <w:b/>
          <w:iCs/>
          <w:sz w:val="24"/>
          <w:szCs w:val="24"/>
        </w:rPr>
        <w:t>Comissões, 27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>
        <w:rPr>
          <w:rFonts w:ascii="Arial" w:hAnsi="Arial" w:cs="Arial"/>
          <w:b/>
          <w:iCs/>
          <w:sz w:val="24"/>
          <w:szCs w:val="24"/>
        </w:rPr>
        <w:t xml:space="preserve">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0C19B7" w:rsidRPr="000165F8" w:rsidP="000C19B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0C19B7" w:rsidRPr="0077753C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docs-internal-guid-4f89cce7-7fff-8e94-16"/>
      <w:bookmarkEnd w:id="0"/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C19B7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42DA4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42DA4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42DA4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42DA4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42DA4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42DA4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42DA4" w:rsidP="000C19B7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0C19B7" w:rsidRPr="0077753C" w:rsidP="000C19B7">
      <w:pPr>
        <w:pStyle w:val="Standard"/>
        <w:spacing w:line="276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Conjunto da Comissão de Justiça e Redação; Comissão d</w:t>
      </w:r>
      <w:r w:rsidRPr="006F6824">
        <w:rPr>
          <w:rFonts w:ascii="Arial" w:hAnsi="Arial" w:cs="Arial"/>
          <w:b/>
          <w:sz w:val="24"/>
          <w:szCs w:val="24"/>
        </w:rPr>
        <w:t>e Educ</w:t>
      </w:r>
      <w:r>
        <w:rPr>
          <w:rFonts w:ascii="Arial" w:hAnsi="Arial" w:cs="Arial"/>
          <w:b/>
          <w:sz w:val="24"/>
          <w:szCs w:val="24"/>
        </w:rPr>
        <w:t>ação, Saúde, Cultura, Esportes e Assistência Social; Comissão de Obras, Serviços Públicos e</w:t>
      </w:r>
      <w:r w:rsidRPr="006F6824">
        <w:rPr>
          <w:rFonts w:ascii="Arial" w:hAnsi="Arial" w:cs="Arial"/>
          <w:b/>
          <w:sz w:val="24"/>
          <w:szCs w:val="24"/>
        </w:rPr>
        <w:t xml:space="preserve"> Atividades Privadas</w:t>
      </w:r>
      <w:r>
        <w:rPr>
          <w:rFonts w:ascii="Arial" w:hAnsi="Arial" w:cs="Arial"/>
          <w:b/>
          <w:sz w:val="24"/>
          <w:szCs w:val="24"/>
        </w:rPr>
        <w:t>; e Comissão de Finanças e Orçamento, r</w:t>
      </w:r>
      <w:r w:rsidR="00642DA4">
        <w:rPr>
          <w:rFonts w:ascii="Arial" w:hAnsi="Arial" w:cs="Arial"/>
          <w:b/>
          <w:sz w:val="24"/>
          <w:szCs w:val="24"/>
        </w:rPr>
        <w:t>eferente ao Projeto de Lei Nº 13</w:t>
      </w:r>
      <w:r>
        <w:rPr>
          <w:rFonts w:ascii="Arial" w:hAnsi="Arial" w:cs="Arial"/>
          <w:b/>
          <w:sz w:val="24"/>
          <w:szCs w:val="24"/>
        </w:rPr>
        <w:t xml:space="preserve"> d</w:t>
      </w:r>
      <w:r w:rsidRPr="006F6824">
        <w:rPr>
          <w:rFonts w:ascii="Arial" w:hAnsi="Arial" w:cs="Arial"/>
          <w:b/>
          <w:sz w:val="24"/>
          <w:szCs w:val="24"/>
        </w:rPr>
        <w:t xml:space="preserve">e 2024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0C19B7" w:rsidR="00642DA4">
        <w:rPr>
          <w:rFonts w:ascii="Arial" w:hAnsi="Arial" w:cs="Arial"/>
          <w:b/>
          <w:i/>
          <w:color w:val="000000"/>
          <w:sz w:val="24"/>
          <w:szCs w:val="24"/>
        </w:rPr>
        <w:t>“Dispõe sobre a proibição de exclusão de comentários e bloqueio de usuários nas páginas oficiais da Administração Pública Municipal nas redes sociais e adota outras providências”</w:t>
      </w:r>
      <w:r w:rsidR="00642DA4">
        <w:rPr>
          <w:rFonts w:ascii="Arial" w:hAnsi="Arial" w:cs="Arial"/>
          <w:color w:val="000000"/>
          <w:sz w:val="24"/>
          <w:szCs w:val="24"/>
        </w:rPr>
        <w:t>.</w:t>
      </w:r>
    </w:p>
    <w:p w:rsidR="000C19B7" w:rsidRPr="0077753C" w:rsidP="000C19B7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ab/>
      </w: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 Relator e conforme determina os artigos 35, 37 e 38 da Resolução n.º 276 de 09 de novembro de 2.010, a Comissão Permanente de Justiça e Redação, conjuntamente com a</w:t>
      </w:r>
      <w:r>
        <w:rPr>
          <w:rFonts w:ascii="Arial" w:eastAsia="Arial" w:hAnsi="Arial" w:cs="Arial"/>
          <w:color w:val="000000"/>
          <w:sz w:val="24"/>
          <w:szCs w:val="24"/>
        </w:rPr>
        <w:t>s Comissões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 de Educação, Saúde, Cultura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Esportes e Assistência Social; Obras, Serviços Públicos e Atividades Privadas; e Finanças e Orçamento,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formalizam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0C19B7" w:rsidRPr="0077753C" w:rsidP="000C19B7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2C4EEF">
        <w:rPr>
          <w:rFonts w:ascii="Arial" w:hAnsi="Arial" w:cs="Arial"/>
          <w:b/>
          <w:iCs/>
          <w:sz w:val="24"/>
          <w:szCs w:val="24"/>
        </w:rPr>
        <w:t>Comissões, 27</w:t>
      </w:r>
      <w:bookmarkStart w:id="1" w:name="_GoBack"/>
      <w:bookmarkEnd w:id="1"/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D840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0C19B7" w:rsidRPr="00D840B7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0C19B7" w:rsidRPr="00D840B7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0C19B7" w:rsidRPr="00D840B7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0C19B7" w:rsidP="000C19B7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0C19B7" w:rsidRPr="0077753C" w:rsidP="000C19B7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DE EDUCAÇÃO, SAÚDE, CULTURA, ESPORTES E ASSISTÊNCIA SOCIAL</w:t>
      </w:r>
    </w:p>
    <w:p w:rsidR="000C19B7" w:rsidRPr="0077753C" w:rsidP="000C19B7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Luzia Cristina Cortes Nogueira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Presidente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Lúcia Maria Tenório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Vice-Presidente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Joelma Franco</w:t>
      </w:r>
      <w:r w:rsidRPr="0077753C">
        <w:rPr>
          <w:rFonts w:ascii="Arial" w:hAnsi="Arial" w:cs="Arial"/>
          <w:b/>
          <w:bCs/>
          <w:sz w:val="24"/>
          <w:szCs w:val="24"/>
        </w:rPr>
        <w:t xml:space="preserve"> da Cunha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Membro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</w:p>
    <w:p w:rsidR="000C19B7" w:rsidRPr="00D840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OBRAS, SERVIÇOS </w:t>
      </w:r>
      <w:r>
        <w:rPr>
          <w:rFonts w:ascii="Arial" w:hAnsi="Arial" w:cs="Arial"/>
          <w:b/>
          <w:iCs/>
          <w:sz w:val="24"/>
          <w:szCs w:val="24"/>
          <w:u w:val="single"/>
        </w:rPr>
        <w:t>PÚBLICOS E ATIVIDADES PRIVADAS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</w:t>
      </w:r>
      <w:r w:rsidRPr="000165F8">
        <w:rPr>
          <w:rFonts w:ascii="Arial" w:hAnsi="Arial" w:cs="Arial"/>
          <w:b/>
          <w:iCs/>
          <w:sz w:val="24"/>
          <w:szCs w:val="24"/>
        </w:rPr>
        <w:t>Orivaldo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Aparecido Magalhães </w:t>
      </w:r>
    </w:p>
    <w:p w:rsidR="000C19B7" w:rsidRPr="00D840B7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0165F8">
        <w:rPr>
          <w:rFonts w:ascii="Arial" w:hAnsi="Arial" w:cs="Arial"/>
          <w:b/>
          <w:iCs/>
          <w:sz w:val="24"/>
          <w:szCs w:val="24"/>
        </w:rPr>
        <w:t>Choquetta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0C19B7" w:rsidRPr="00D840B7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0C19B7" w:rsidRPr="00D840B7" w:rsidP="000C19B7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0C19B7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0C19B7" w:rsidP="000C19B7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0C19B7" w:rsidRPr="0077753C" w:rsidP="000C19B7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0C19B7" w:rsidRPr="0077753C" w:rsidP="000C19B7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 João Victor Coutinho Gasparini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Presidente</w:t>
      </w: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77753C">
        <w:rPr>
          <w:rFonts w:ascii="Arial" w:hAnsi="Arial" w:cs="Arial"/>
          <w:b/>
          <w:iCs/>
          <w:sz w:val="24"/>
          <w:szCs w:val="24"/>
        </w:rPr>
        <w:t>Choquetta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Vice-Presidente</w:t>
      </w:r>
    </w:p>
    <w:p w:rsidR="000C19B7" w:rsidRPr="0077753C" w:rsidP="000C19B7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Vereadora Luzia Cristina Côrtes Nogueira</w:t>
      </w:r>
    </w:p>
    <w:p w:rsidR="000C19B7" w:rsidRPr="0077753C" w:rsidP="000C19B7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>Membro</w:t>
      </w:r>
    </w:p>
    <w:p w:rsidR="000C19B7" w:rsidRPr="0077753C" w:rsidP="000C19B7">
      <w:pPr>
        <w:rPr>
          <w:rFonts w:ascii="Arial" w:hAnsi="Arial" w:cs="Arial"/>
          <w:sz w:val="24"/>
          <w:szCs w:val="24"/>
        </w:rPr>
      </w:pPr>
    </w:p>
    <w:p w:rsidR="00ED129F"/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 xml:space="preserve">Rua Dr. José Alves, 129 - Centro - </w:t>
    </w:r>
    <w:r w:rsidRPr="00D840B7">
      <w:rPr>
        <w:rFonts w:ascii="Arial" w:hAnsi="Arial" w:cs="Arial"/>
        <w:sz w:val="18"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924021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0C19B7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sz w:val="21"/>
        <w:szCs w:val="21"/>
      </w:rPr>
    </w:pPr>
    <w:r w:rsidRPr="000C19B7">
      <w:rPr>
        <w:rFonts w:ascii="Arial" w:hAnsi="Arial" w:cs="Arial"/>
        <w:b/>
        <w:sz w:val="21"/>
        <w:szCs w:val="21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B7"/>
    <w:rsid w:val="000165F8"/>
    <w:rsid w:val="00071746"/>
    <w:rsid w:val="000C19B7"/>
    <w:rsid w:val="00207F61"/>
    <w:rsid w:val="002662CD"/>
    <w:rsid w:val="002C4EEF"/>
    <w:rsid w:val="00573B5B"/>
    <w:rsid w:val="00642DA4"/>
    <w:rsid w:val="006F6824"/>
    <w:rsid w:val="00774235"/>
    <w:rsid w:val="0077753C"/>
    <w:rsid w:val="00926A21"/>
    <w:rsid w:val="00D840B7"/>
    <w:rsid w:val="00E6736E"/>
    <w:rsid w:val="00ED129F"/>
    <w:rsid w:val="00F916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01D9E1-3751-4DDC-BBE3-5A075E57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C19B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C19B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0C19B7"/>
    <w:pPr>
      <w:spacing w:after="140" w:line="276" w:lineRule="auto"/>
    </w:pPr>
  </w:style>
  <w:style w:type="paragraph" w:styleId="Header">
    <w:name w:val="header"/>
    <w:basedOn w:val="Standard"/>
    <w:link w:val="CabealhoChar"/>
    <w:rsid w:val="000C19B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C19B7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0C19B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C19B7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964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2024-02-27T19:43:33Z</cp:lastPrinted>
  <dcterms:created xsi:type="dcterms:W3CDTF">2024-02-27T12:37:00Z</dcterms:created>
  <dcterms:modified xsi:type="dcterms:W3CDTF">2024-02-27T19:39:00Z</dcterms:modified>
</cp:coreProperties>
</file>