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AE" w:rsidRDefault="00C02FAE" w:rsidP="00C02F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D48" w:rsidRPr="00C02FAE" w:rsidRDefault="001C2AE0" w:rsidP="00C02F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FAE">
        <w:rPr>
          <w:rFonts w:ascii="Times New Roman" w:hAnsi="Times New Roman" w:cs="Times New Roman"/>
          <w:b/>
          <w:sz w:val="24"/>
          <w:szCs w:val="24"/>
          <w:u w:val="single"/>
        </w:rPr>
        <w:t>PROJETO DE LEI Nº 27 DE 2024</w:t>
      </w:r>
    </w:p>
    <w:p w:rsidR="00C02FAE" w:rsidRPr="00C02FAE" w:rsidRDefault="00C02FAE" w:rsidP="00C02FA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2FAE">
        <w:rPr>
          <w:rFonts w:ascii="Times New Roman" w:hAnsi="Times New Roman" w:cs="Times New Roman"/>
          <w:b/>
          <w:sz w:val="24"/>
          <w:szCs w:val="24"/>
          <w:u w:val="single"/>
        </w:rPr>
        <w:t>AUTÓGRAFO Nº 40 DE 2024</w:t>
      </w:r>
    </w:p>
    <w:p w:rsidR="00534D48" w:rsidRDefault="00534D48" w:rsidP="00534D48"/>
    <w:p w:rsidR="00534D48" w:rsidRDefault="001C2AE0" w:rsidP="00C02FAE">
      <w:pPr>
        <w:pStyle w:val="Recuodecorpodetexto21"/>
        <w:ind w:left="3969" w:firstLine="0"/>
        <w:rPr>
          <w:b/>
          <w:szCs w:val="24"/>
          <w:lang w:eastAsia="pt-BR"/>
        </w:rPr>
      </w:pPr>
      <w:r>
        <w:rPr>
          <w:b/>
          <w:szCs w:val="24"/>
          <w:lang w:eastAsia="pt-BR"/>
        </w:rPr>
        <w:t>DISPÕE SOBRE ABERTURA DE CRÉDITO ADICIONAL ESPECIAL SUPLEMENTAR, POR REMANEJAMENTO DE DOTAÇÕES ORÇAMENTÁRIAS, NO VALOR DE R$ 15.000,00.</w:t>
      </w:r>
    </w:p>
    <w:p w:rsidR="00534D48" w:rsidRDefault="00534D48" w:rsidP="00534D48">
      <w:pPr>
        <w:pStyle w:val="Recuodecorpodetexto21"/>
        <w:ind w:left="3840"/>
        <w:rPr>
          <w:b/>
          <w:szCs w:val="24"/>
          <w:lang w:eastAsia="pt-BR"/>
        </w:rPr>
      </w:pPr>
    </w:p>
    <w:p w:rsidR="00534D48" w:rsidRDefault="001C2AE0" w:rsidP="00C02FAE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>aprov</w:t>
      </w:r>
      <w:r w:rsidR="00C02FAE">
        <w:rPr>
          <w:rFonts w:ascii="Times New Roman" w:hAnsi="Times New Roman" w:cs="Times New Roman"/>
          <w:color w:val="auto"/>
        </w:rPr>
        <w:t>a:</w:t>
      </w:r>
    </w:p>
    <w:p w:rsidR="00C02FAE" w:rsidRDefault="00C02FAE" w:rsidP="00C02FAE">
      <w:pPr>
        <w:pStyle w:val="Textoembloco1"/>
        <w:ind w:left="0" w:right="0"/>
        <w:rPr>
          <w:rFonts w:eastAsia="Arial Unicode MS"/>
          <w:bCs/>
          <w:sz w:val="24"/>
          <w:szCs w:val="24"/>
          <w:lang w:eastAsia="pt-BR"/>
        </w:rPr>
      </w:pPr>
    </w:p>
    <w:p w:rsidR="00534D48" w:rsidRDefault="001C2AE0" w:rsidP="00C02FAE">
      <w:pPr>
        <w:pStyle w:val="Textoembloco1"/>
        <w:ind w:left="0" w:right="0" w:firstLine="720"/>
        <w:rPr>
          <w:sz w:val="24"/>
          <w:szCs w:val="24"/>
        </w:rPr>
      </w:pPr>
      <w:r w:rsidRPr="00C02FAE"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 a Secretaria Municipal de Finanças autorizada a efetuar a abertura de crédito adicional especial suplementar, na importância de R$ 15.000,00 (quinze mil reais), na seguinte classificação funcional programática:</w:t>
      </w:r>
    </w:p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245"/>
        <w:gridCol w:w="1275"/>
      </w:tblGrid>
      <w:tr w:rsidR="00510D2A" w:rsidTr="00C02FA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b/>
                <w:sz w:val="18"/>
                <w:szCs w:val="18"/>
              </w:rPr>
              <w:t>01.39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10D2A" w:rsidTr="00C02FA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01.39.11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Gestão de Mobilidade Urbana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10D2A" w:rsidTr="00C02FA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01.39.11.15.452.1001.2245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Manutenção do Sistema Municipal de Transporte Urbano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10D2A" w:rsidTr="00C02FA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</w:tr>
      <w:tr w:rsidR="00510D2A" w:rsidTr="00C02FA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Fonte de Recurso – Tesouro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Pr="00C02FAE" w:rsidRDefault="00534D48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0D2A" w:rsidTr="00C02FA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 w:rsidRPr="00C02FA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8" w:rsidRPr="00C02FAE" w:rsidRDefault="001C2AE0">
            <w:pPr>
              <w:snapToGrid w:val="0"/>
              <w:ind w:left="33" w:hanging="3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15.000,00</w:t>
            </w:r>
          </w:p>
        </w:tc>
      </w:tr>
    </w:tbl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</w:p>
    <w:p w:rsidR="00534D48" w:rsidRDefault="001C2AE0" w:rsidP="00C02FAE">
      <w:pPr>
        <w:pStyle w:val="Textoembloco1"/>
        <w:ind w:left="0" w:right="0" w:firstLine="720"/>
        <w:rPr>
          <w:sz w:val="24"/>
          <w:szCs w:val="24"/>
        </w:rPr>
      </w:pPr>
      <w:r w:rsidRPr="00C02FAE"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O valor da presente abertura de crédito adicional especial suplementar será coberto através de remanejamento parcial da seguinte dotação orçamentária vigente:</w:t>
      </w:r>
    </w:p>
    <w:p w:rsidR="00534D48" w:rsidRDefault="00534D48" w:rsidP="00534D48">
      <w:pPr>
        <w:ind w:right="-801"/>
        <w:jc w:val="both"/>
        <w:rPr>
          <w:b/>
          <w:sz w:val="18"/>
          <w:szCs w:val="18"/>
        </w:rPr>
      </w:pPr>
    </w:p>
    <w:tbl>
      <w:tblPr>
        <w:tblW w:w="908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2"/>
        <w:gridCol w:w="1279"/>
      </w:tblGrid>
      <w:tr w:rsidR="00510D2A" w:rsidTr="00C02FAE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b/>
                <w:sz w:val="18"/>
                <w:szCs w:val="18"/>
              </w:rPr>
              <w:t>01.39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10D2A" w:rsidTr="00C02FAE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01.39.11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Gestão de Mobilidade Urbana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10D2A" w:rsidTr="00C02FAE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01.39.11.15.452.1001.2038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Atividades do Trânsito e Mobilidade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510D2A" w:rsidTr="00C02FAE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3.3.90.30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Material de Consumo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D48" w:rsidRPr="00C02FAE" w:rsidRDefault="001C2AE0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</w:tr>
      <w:tr w:rsidR="00510D2A" w:rsidTr="00C02FAE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>Fonte de Recurso – Tesouro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D48" w:rsidRPr="00C02FAE" w:rsidRDefault="00534D48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0D2A" w:rsidTr="00C02FAE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4D48" w:rsidRPr="00C02FAE" w:rsidRDefault="00534D48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D48" w:rsidRPr="00C02FAE" w:rsidRDefault="001C2AE0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 w:rsidRPr="00C02FAE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TOTAL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D48" w:rsidRPr="00C02FAE" w:rsidRDefault="001C2AE0">
            <w:pPr>
              <w:snapToGrid w:val="0"/>
              <w:ind w:left="33" w:hanging="3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FA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02FAE">
              <w:rPr>
                <w:rFonts w:ascii="Times New Roman" w:hAnsi="Times New Roman" w:cs="Times New Roman"/>
                <w:b/>
                <w:sz w:val="18"/>
                <w:szCs w:val="18"/>
              </w:rPr>
              <w:t>15.000,00</w:t>
            </w:r>
          </w:p>
        </w:tc>
      </w:tr>
    </w:tbl>
    <w:p w:rsidR="00534D48" w:rsidRDefault="00534D48" w:rsidP="00534D48">
      <w:pPr>
        <w:pStyle w:val="Textoembloco1"/>
        <w:ind w:left="0" w:right="0" w:firstLine="3840"/>
        <w:rPr>
          <w:sz w:val="24"/>
          <w:szCs w:val="24"/>
        </w:rPr>
      </w:pPr>
    </w:p>
    <w:p w:rsidR="00534D48" w:rsidRDefault="001C2AE0" w:rsidP="00C02FAE">
      <w:pPr>
        <w:pStyle w:val="Textoembloco1"/>
        <w:ind w:left="0" w:right="0" w:firstLine="720"/>
        <w:rPr>
          <w:sz w:val="24"/>
          <w:szCs w:val="24"/>
        </w:rPr>
      </w:pPr>
      <w:r w:rsidRPr="00C02FAE"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Ficam alterados os valores constantes nos anexos II e III do PPA – 2022 a 2025 e anexos V e VI da LDO de 2024, pelo valor ora suplementado e anulado na respectiva classificação prog</w:t>
      </w:r>
      <w:r w:rsidR="00C02FAE">
        <w:rPr>
          <w:sz w:val="24"/>
          <w:szCs w:val="24"/>
        </w:rPr>
        <w:t xml:space="preserve">ramática constante dos artigos </w:t>
      </w:r>
      <w:r>
        <w:rPr>
          <w:sz w:val="24"/>
          <w:szCs w:val="24"/>
        </w:rPr>
        <w:t xml:space="preserve">1º e 2º desta Lei. </w:t>
      </w:r>
    </w:p>
    <w:p w:rsidR="00534D48" w:rsidRDefault="001C2AE0" w:rsidP="00534D48">
      <w:pPr>
        <w:pStyle w:val="Textoembloco1"/>
        <w:ind w:left="0" w:right="0" w:firstLine="3840"/>
      </w:pPr>
      <w:r>
        <w:rPr>
          <w:szCs w:val="22"/>
        </w:rPr>
        <w:t xml:space="preserve"> </w:t>
      </w:r>
      <w:r>
        <w:rPr>
          <w:szCs w:val="22"/>
        </w:rPr>
        <w:tab/>
      </w:r>
    </w:p>
    <w:p w:rsidR="00534D48" w:rsidRDefault="001C2AE0" w:rsidP="00C02FAE">
      <w:pPr>
        <w:pStyle w:val="Textoembloco1"/>
        <w:ind w:left="0" w:right="-801" w:firstLine="720"/>
        <w:rPr>
          <w:sz w:val="24"/>
          <w:szCs w:val="24"/>
        </w:rPr>
      </w:pPr>
      <w:r w:rsidRPr="00C02FAE"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Esta Lei entra em vigor na data de sua publicação.</w:t>
      </w:r>
    </w:p>
    <w:p w:rsidR="00C02FAE" w:rsidRDefault="00C02FAE" w:rsidP="00534D48">
      <w:pPr>
        <w:ind w:right="283" w:firstLine="3828"/>
        <w:jc w:val="both"/>
        <w:rPr>
          <w:sz w:val="24"/>
          <w:szCs w:val="24"/>
        </w:rPr>
      </w:pPr>
    </w:p>
    <w:p w:rsidR="00C02FAE" w:rsidRDefault="00C02FAE" w:rsidP="00C02FAE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DF6566">
        <w:rPr>
          <w:rFonts w:ascii="Times New Roman" w:hAnsi="Times New Roman" w:cs="Times New Roman"/>
          <w:sz w:val="24"/>
          <w:szCs w:val="24"/>
        </w:rPr>
        <w:t>mara Municipal de Mogi Mirim, 26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março de 2024.</w:t>
      </w:r>
    </w:p>
    <w:p w:rsidR="00C02FAE" w:rsidRPr="00E176C1" w:rsidRDefault="00C02FAE" w:rsidP="00C02FAE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40 de 2024.</w:t>
      </w:r>
    </w:p>
    <w:p w:rsidR="00C02FAE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C02FAE" w:rsidRPr="000000D2" w:rsidRDefault="00C02FAE" w:rsidP="00C02FA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02FAE" w:rsidRPr="000000D2" w:rsidRDefault="00C02FAE" w:rsidP="00C02FAE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C02FAE" w:rsidRDefault="00C02FAE" w:rsidP="00C02FAE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Default="00C02FAE" w:rsidP="00C02FAE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02FAE" w:rsidRPr="00C02FAE" w:rsidRDefault="00C02FAE" w:rsidP="00C02FAE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34D48" w:rsidRPr="00C02FAE" w:rsidRDefault="00534D48" w:rsidP="00534D48">
      <w:pPr>
        <w:jc w:val="center"/>
        <w:rPr>
          <w:rFonts w:ascii="Times New Roman" w:eastAsia="MS Mincho" w:hAnsi="Times New Roman" w:cs="Times New Roman"/>
        </w:rPr>
      </w:pPr>
    </w:p>
    <w:p w:rsidR="00534D48" w:rsidRPr="00C02FAE" w:rsidRDefault="00534D48" w:rsidP="00534D48">
      <w:pPr>
        <w:jc w:val="center"/>
        <w:rPr>
          <w:rFonts w:ascii="Times New Roman" w:eastAsia="MS Mincho" w:hAnsi="Times New Roman" w:cs="Times New Roman"/>
        </w:rPr>
      </w:pPr>
    </w:p>
    <w:p w:rsidR="00534D48" w:rsidRPr="00C02FAE" w:rsidRDefault="001C2AE0" w:rsidP="00534D4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02FA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C02FAE" w:rsidRPr="00C02FAE">
        <w:rPr>
          <w:rFonts w:ascii="Times New Roman" w:eastAsia="MS Mincho" w:hAnsi="Times New Roman" w:cs="Times New Roman"/>
          <w:b/>
          <w:sz w:val="20"/>
          <w:szCs w:val="20"/>
        </w:rPr>
        <w:t>27 de 2024</w:t>
      </w:r>
    </w:p>
    <w:p w:rsidR="00207677" w:rsidRPr="00C02FAE" w:rsidRDefault="001C2AE0" w:rsidP="00534D48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C02FA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C02FAE" w:rsidSect="00C02FAE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94F" w:rsidRDefault="00F9794F">
      <w:r>
        <w:separator/>
      </w:r>
    </w:p>
  </w:endnote>
  <w:endnote w:type="continuationSeparator" w:id="0">
    <w:p w:rsidR="00F9794F" w:rsidRDefault="00F9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94F" w:rsidRDefault="00F9794F">
      <w:r>
        <w:separator/>
      </w:r>
    </w:p>
  </w:footnote>
  <w:footnote w:type="continuationSeparator" w:id="0">
    <w:p w:rsidR="00F9794F" w:rsidRDefault="00F97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C2AE0" w:rsidP="00C02FAE">
    <w:pPr>
      <w:framePr w:w="2983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C02FAE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0059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C2AE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C02FAE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1C2AE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2AE0"/>
    <w:rsid w:val="00207677"/>
    <w:rsid w:val="00214442"/>
    <w:rsid w:val="00217F62"/>
    <w:rsid w:val="0034016C"/>
    <w:rsid w:val="004F0784"/>
    <w:rsid w:val="004F1341"/>
    <w:rsid w:val="00510D2A"/>
    <w:rsid w:val="00520F7E"/>
    <w:rsid w:val="00534D48"/>
    <w:rsid w:val="005755DE"/>
    <w:rsid w:val="00594412"/>
    <w:rsid w:val="005D4035"/>
    <w:rsid w:val="00697F7F"/>
    <w:rsid w:val="00700224"/>
    <w:rsid w:val="00734654"/>
    <w:rsid w:val="00A5188F"/>
    <w:rsid w:val="00A5794C"/>
    <w:rsid w:val="00A906D8"/>
    <w:rsid w:val="00AB5A74"/>
    <w:rsid w:val="00C02FAE"/>
    <w:rsid w:val="00C32D95"/>
    <w:rsid w:val="00C938B6"/>
    <w:rsid w:val="00DE5AAE"/>
    <w:rsid w:val="00DE675E"/>
    <w:rsid w:val="00DF6566"/>
    <w:rsid w:val="00F01731"/>
    <w:rsid w:val="00F071AE"/>
    <w:rsid w:val="00F9794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425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34D4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34D4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34D4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2024-03-26T12:14:00Z</dcterms:modified>
</cp:coreProperties>
</file>