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Parecer Nº 1 ao Projetos de Lei Nº 111/2023</w:t>
      </w:r>
      <w:r>
        <w:rPr>
          <w:rFonts w:ascii="Bookman Old Style" w:hAnsi="Bookman Old Style"/>
          <w:b/>
          <w:color w:val="000000"/>
          <w:sz w:val="24"/>
          <w:szCs w:val="24"/>
        </w:rPr>
        <w:t>RELATÓRIO</w:t>
      </w:r>
    </w:p>
    <w:p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Projeto de Lei n.º 111/2023</w:t>
      </w:r>
    </w:p>
    <w:p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Processo nº154/2023</w:t>
      </w:r>
    </w:p>
    <w:p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I - Exposição da Matéria</w:t>
      </w:r>
    </w:p>
    <w:p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O presente relatório visa analisar o Projeto de Lei Nº 111/2023, de autoria dos vereadores </w:t>
      </w:r>
      <w:r>
        <w:rPr>
          <w:rFonts w:ascii="Bookman Old Style" w:hAnsi="Bookman Old Style"/>
          <w:sz w:val="24"/>
          <w:szCs w:val="24"/>
          <w:shd w:val="clear" w:color="auto" w:fill="auto"/>
        </w:rPr>
        <w:t>Orivaldo Aparecido Magalhães</w:t>
      </w:r>
      <w:r>
        <w:rPr>
          <w:rFonts w:ascii="Bookman Old Style" w:hAnsi="Bookman Old Style"/>
          <w:sz w:val="24"/>
          <w:szCs w:val="24"/>
        </w:rPr>
        <w:t>,  Alexandre Cintra e Marcos Antonio Franco, que propõe a criação do Centro de Referência e Atendimento Especializado às Pessoas com Transtorno do Espectro Autista (TEA) no município de Mogi Mirim.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O Projeto de Lei Nº 111/2023 "INSTITUI O CENTRO DE REFERÊNCIA E ATENDIMENTO ESPECIALIZADO ÀS PESSOAS COM TRANSTORNO DO ESPECTRO AUTISTA (TEA)" no município de Mogi Mirim. Conforme descrito no Artigo 1º, o município "</w:t>
      </w:r>
      <w:r>
        <w:rPr>
          <w:rFonts w:ascii="Bookman Old Style" w:hAnsi="Bookman Old Style"/>
          <w:i/>
          <w:sz w:val="24"/>
          <w:szCs w:val="24"/>
        </w:rPr>
        <w:t>criará o Complexo de Referência da Pessoa com Transtorno do Espectro Autista (TEA) denominado Centro de Referência do Autista.</w:t>
      </w:r>
      <w:r>
        <w:rPr>
          <w:rFonts w:ascii="Bookman Old Style" w:hAnsi="Bookman Old Style"/>
          <w:sz w:val="24"/>
          <w:szCs w:val="24"/>
        </w:rPr>
        <w:t>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De acordo com o Artigo 2º, o Centro de Referência da Pessoa com Transtorno do Espectro Autista promoverá: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 - "atendimento psicossocial";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II - "atendimento médico e agendamento de consultas";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III - "ações e programas de inclusão em modalidades esportivas";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IV - "ações de inclusão social";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 - "ações e programas de informação social sobre o TEA, tendo em vista a educação, a saúde e o trabalho";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VI - "ações e programas que integrem pessoas com TEA em programas de educação e saúde, além dos seus familiares";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VII - "atividades em conjunto com entidades que promovam a interação, recuperação e tratamento das pessoas com TEA em terapias com animais";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VIII - "fonoaudiologia";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IX - "pediatria";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X - "fisioterapia";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XI - "psicologia";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XII - "terapia ocupacional";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XIII - "neurologia";</w:t>
      </w:r>
    </w:p>
    <w:p>
      <w:pPr>
        <w:spacing w:before="240"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XIV - "equoterapia";</w:t>
      </w:r>
    </w:p>
    <w:p>
      <w:pPr>
        <w:spacing w:before="240"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XV - "dentre outras atividades e serviços que forem necessários ao acompanhamento multiprofissional do Transtorno do Espectro Autista."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O Artigo 3º do projeto estipula que o Centro de Referência da Pessoa com Transtorno do Espectro Autista deverá:</w:t>
      </w:r>
    </w:p>
    <w:p>
      <w:pPr>
        <w:spacing w:before="240"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 - "realizar estudos e divulgar periodicamente informações e relatórios que envolvam a população a que se refere esta lei";</w:t>
      </w:r>
    </w:p>
    <w:p>
      <w:pPr>
        <w:spacing w:before="240"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II - "auxiliar com o objetivo de facilitar a utilização dos serviços públicos existentes por parte da população com TEA."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Conforme o Artigo 4º, o Centro de Referência da Pessoa com Transtorno do Espectro </w:t>
      </w:r>
      <w:r>
        <w:rPr>
          <w:rFonts w:ascii="Bookman Old Style" w:hAnsi="Bookman Old Style"/>
          <w:i/>
          <w:sz w:val="24"/>
          <w:szCs w:val="24"/>
        </w:rPr>
        <w:t>Autista "poderá firmar convênio ou parceria com organizações e instituições para a realização de trabalhos e projetos de desenvolvimento intelectual e motor das pessoas com TEA</w:t>
      </w:r>
      <w:r>
        <w:rPr>
          <w:rFonts w:ascii="Bookman Old Style" w:hAnsi="Bookman Old Style"/>
          <w:sz w:val="24"/>
          <w:szCs w:val="24"/>
        </w:rPr>
        <w:t>."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O Artigo 5º estabelece que </w:t>
      </w:r>
      <w:r>
        <w:rPr>
          <w:rFonts w:ascii="Bookman Old Style" w:hAnsi="Bookman Old Style"/>
          <w:i/>
          <w:sz w:val="24"/>
          <w:szCs w:val="24"/>
        </w:rPr>
        <w:t>"as despesas com a execução desta lei correrão por conta de dotações orçamentárias próprias suplementadas, se necessário."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O Artigo 6º declara que "</w:t>
      </w:r>
      <w:r>
        <w:rPr>
          <w:rFonts w:ascii="Bookman Old Style" w:hAnsi="Bookman Old Style"/>
          <w:i/>
          <w:sz w:val="24"/>
          <w:szCs w:val="24"/>
        </w:rPr>
        <w:t>esta lei entra em vigor na data de sua publicação</w:t>
      </w:r>
      <w:r>
        <w:rPr>
          <w:rFonts w:ascii="Bookman Old Style" w:hAnsi="Bookman Old Style"/>
          <w:sz w:val="24"/>
          <w:szCs w:val="24"/>
        </w:rPr>
        <w:t>."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Na justificativa do projeto, os autores destacam que "o </w:t>
      </w:r>
      <w:r>
        <w:rPr>
          <w:rFonts w:ascii="Bookman Old Style" w:hAnsi="Bookman Old Style"/>
          <w:i/>
          <w:sz w:val="24"/>
          <w:szCs w:val="24"/>
        </w:rPr>
        <w:t>índice de pessoas com Transtorno do Espectro Autista – TEA tem aumentado significativamente a cada ano.</w:t>
      </w:r>
      <w:r>
        <w:rPr>
          <w:rFonts w:ascii="Bookman Old Style" w:hAnsi="Bookman Old Style"/>
          <w:sz w:val="24"/>
          <w:szCs w:val="24"/>
        </w:rPr>
        <w:t>" Estudos realizados pelo CDC (Centro de Controle e Prevenção de Doenças) em 2021 apontavam que "</w:t>
      </w:r>
      <w:r>
        <w:rPr>
          <w:rFonts w:ascii="Bookman Old Style" w:hAnsi="Bookman Old Style"/>
          <w:i/>
          <w:sz w:val="24"/>
          <w:szCs w:val="24"/>
        </w:rPr>
        <w:t>01 em cada 44 crianças são autistas</w:t>
      </w:r>
      <w:r>
        <w:rPr>
          <w:rFonts w:ascii="Bookman Old Style" w:hAnsi="Bookman Old Style"/>
          <w:sz w:val="24"/>
          <w:szCs w:val="24"/>
        </w:rPr>
        <w:t>," enquanto estudos atualizados indicam que "</w:t>
      </w:r>
      <w:r>
        <w:rPr>
          <w:rFonts w:ascii="Bookman Old Style" w:hAnsi="Bookman Old Style"/>
          <w:i/>
          <w:sz w:val="24"/>
          <w:szCs w:val="24"/>
        </w:rPr>
        <w:t>01 em cada 36 crianças são autistas.</w:t>
      </w:r>
      <w:r>
        <w:rPr>
          <w:rFonts w:ascii="Bookman Old Style" w:hAnsi="Bookman Old Style"/>
          <w:sz w:val="24"/>
          <w:szCs w:val="24"/>
        </w:rPr>
        <w:t>" No Brasil, estima-se que haja "</w:t>
      </w:r>
      <w:r>
        <w:rPr>
          <w:rFonts w:ascii="Bookman Old Style" w:hAnsi="Bookman Old Style"/>
          <w:i/>
          <w:sz w:val="24"/>
          <w:szCs w:val="24"/>
        </w:rPr>
        <w:t>em média 2 milhões de pessoas autistas.</w:t>
      </w:r>
      <w:r>
        <w:rPr>
          <w:rFonts w:ascii="Bookman Old Style" w:hAnsi="Bookman Old Style"/>
          <w:sz w:val="24"/>
          <w:szCs w:val="24"/>
        </w:rPr>
        <w:t>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Os autores ressaltam que "</w:t>
      </w:r>
      <w:r>
        <w:rPr>
          <w:rFonts w:ascii="Bookman Old Style" w:hAnsi="Bookman Old Style"/>
          <w:i/>
          <w:sz w:val="24"/>
          <w:szCs w:val="24"/>
        </w:rPr>
        <w:t>é importante destacarmos a importância do acompanhamento multidisciplinar das pessoas com Transtorno do Espectro Autista para que as mesmas tenham progressos significativos</w:t>
      </w:r>
      <w:r>
        <w:rPr>
          <w:rFonts w:ascii="Bookman Old Style" w:hAnsi="Bookman Old Style"/>
          <w:sz w:val="24"/>
          <w:szCs w:val="24"/>
        </w:rPr>
        <w:t>." Uma equipe multiprofissional "</w:t>
      </w:r>
      <w:r>
        <w:rPr>
          <w:rFonts w:ascii="Bookman Old Style" w:hAnsi="Bookman Old Style"/>
          <w:i/>
          <w:sz w:val="24"/>
          <w:szCs w:val="24"/>
        </w:rPr>
        <w:t>deve ser construída de forma progressiva, de acordo com a identificação de sintomas e possíveis intervenções, combinando os conhecimentos dos profissionais que forem necessários como forma de aprimoramento</w:t>
      </w:r>
      <w:r>
        <w:rPr>
          <w:rFonts w:ascii="Bookman Old Style" w:hAnsi="Bookman Old Style"/>
          <w:sz w:val="24"/>
          <w:szCs w:val="24"/>
        </w:rPr>
        <w:t>."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II - Do mérito e conclusões da relatora</w:t>
      </w:r>
    </w:p>
    <w:p>
      <w:pPr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Esta relatora solicitou uma avaliação sobre a competência do município para legislar sobre a criação de um centro especializado para pessoas com TEA. A consulta também incluiu a análise de potenciais vícios de constitucionalidade, tanto material quanto formal, que possam impedir a tramitação regular do PL 111/2023.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procurador Doutor Fernando Márcio das Dores, em sua nota técnica, destaca que a competência legislativa dos municípios decorre diretamente da Constituição Federal de 1988 (CRFB/88), especificamente dos incisos I e II do Art. 30. Esses incisos reservam aos municípios a competência para legislar sobre assuntos de interesse local e a de suplementar a legislação federal e estadual no que couber.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Legislação Federal:</w:t>
      </w:r>
      <w:r>
        <w:rPr>
          <w:rFonts w:ascii="Bookman Old Style" w:hAnsi="Bookman Old Style"/>
          <w:sz w:val="24"/>
          <w:szCs w:val="24"/>
        </w:rPr>
        <w:t xml:space="preserve"> A Lei Federal Nº 12.764/2012 estabelece a Política Nacional de Proteção dos Direitos da Pessoa com Transtorno do Espectro Autista. Segundo o procurador, essa lei "</w:t>
      </w:r>
      <w:r>
        <w:rPr>
          <w:rFonts w:ascii="Bookman Old Style" w:hAnsi="Bookman Old Style"/>
          <w:i/>
          <w:sz w:val="24"/>
          <w:szCs w:val="24"/>
        </w:rPr>
        <w:t>atua de forma ampla, elegendo condutas e assinalando direitos</w:t>
      </w:r>
      <w:r>
        <w:rPr>
          <w:rFonts w:ascii="Bookman Old Style" w:hAnsi="Bookman Old Style"/>
          <w:sz w:val="24"/>
          <w:szCs w:val="24"/>
        </w:rPr>
        <w:t>" e permite que os demais entes federativos normatizem de forma suplementar acerca da matéria, dentro dos limites e condições de cada ente.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Legislação Estadual:</w:t>
      </w:r>
      <w:r>
        <w:rPr>
          <w:rFonts w:ascii="Bookman Old Style" w:hAnsi="Bookman Old Style"/>
          <w:sz w:val="24"/>
          <w:szCs w:val="24"/>
        </w:rPr>
        <w:t xml:space="preserve"> A Lei Estadual Nº 17.744/2023, sancionada pelo governador Tarcísio de Freitas e de autoria da deputada Analice Fernandes (PSDB), autoriza a criação de Centros de Referência e Atendimento Especializado às Pessoas com TEA no Estado de São Paulo. O Doutor Fernando Márcio das Dores argumenta que a lei estadual não impõe condutas aos municípios, e que a criação de órgãos administrativos é uma função típica do Poder Executivo, conforme a Constituição Federal (Art. 61, §1º, inciso II, alínea "a") e a Constituição Paulista (Art. 47, incisos II e XI).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parecer jurídico identifica vários vícios de constitucionalidade no PL 111/2023: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Iniciativa Legislativa: A criação, estruturação e atribuições de órgãos administrativos são prerrogativas exclusivas do Poder Executivo. Segundo Doutor Fernando Márcio das Dores, o PL 111/2023 apresenta um vício de iniciativa, pois um vereador não possui competência para propor a criação de órgãos administrativos, conforme previsto na Constituição Federal e na Lei Orgânica do Município de Mogi Mirim.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Impacto Orçamentário e Financeiro: A Lei de Responsabilidade Fiscal (Lei 101/2000) exige um estudo de impacto orçamentário-financeiro para projetos que impliquem em novas despesas para o município. O PL 111/2023 não inclui essa análise, o que é uma exigência fundamental para a viabilidade financeira do projeto.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Lei Estadual Nº 17.744/2023, que autoriza a criação de Centros de Referência e Atendimento Especializado às Pessoas com TEA, estabelece diretrizes para esses centros, incluindo a promoção de atendimentos psicossocial e médico, agendamento de consultas, programas de inclusão social e esportiva, e parcerias com entidades para terapias e outras atividades.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Essa legislação serve como um modelo para a iniciativa municipal, estabelecendo parâmetros que podem ser seguidos pelo município de Mogi Mirim. Importante destacar que a lei estadual não cria diretamente os centros, mas autoriza sua criação, delegando ao Executivo a responsabilidade pela implementação.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 base na análise jurídica e na legislação estadual pertinente, conclui-se que o Projeto de Lei Nº 111/2023, conforme proposto, apresenta vícios de iniciativa e ausência de estudo de impacto orçamentário-financeiro, o que inviabiliza sua tramitação regular.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Portanto, recomenda-se a reformulação do PL 111/2023 para </w:t>
      </w:r>
      <w:r>
        <w:rPr>
          <w:rFonts w:ascii="Bookman Old Style" w:hAnsi="Bookman Old Style"/>
          <w:b/>
          <w:sz w:val="24"/>
          <w:szCs w:val="24"/>
        </w:rPr>
        <w:t>autorizar a criação do Centro de Referência do Autista</w:t>
      </w:r>
      <w:r>
        <w:rPr>
          <w:rFonts w:ascii="Bookman Old Style" w:hAnsi="Bookman Old Style"/>
          <w:sz w:val="24"/>
          <w:szCs w:val="24"/>
        </w:rPr>
        <w:t>, em conformidade com a Lei Estadual Nº 17.744/2023. Essa reformulação deve delegar ao Poder Executivo a responsabilidade pela criação, estruturação e manutenção do centro, incluindo a realização dos estudos de impacto orçamentário-financeiro necessários.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Essa abordagem não só respeitará as prerrogativas do Poder Executivo, conforme estabelecido pela Constituição, mas também permitirá que o município avance na implementação de um serviço essencial para a comunidade autista, promovendo inclusão e suporte especializado de forma legal e sustentável.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III. Substitutivos, Emendas ou subemendas ao Projeto</w:t>
      </w:r>
    </w:p>
    <w:p>
      <w:pPr>
        <w:spacing w:before="240"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Relatoria do Projeto de Lei 111/2023 propõe a seguinte  emenda modificativa para adequação do texto original à Constituição Federal em atendimento às prerrogativas exclusivas do Poder Executivo, e adequação e em consonância  com a Lei Estadual Nº 17.744/2023 :</w:t>
      </w:r>
    </w:p>
    <w:p>
      <w:pPr>
        <w:spacing w:before="240"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Emenda Modificativa ao Artigo 1º:</w:t>
      </w:r>
    </w:p>
    <w:p>
      <w:pPr>
        <w:spacing w:before="240"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Artigo 1º do Projeto de Lei 111/2023 passará a ter a seguinte redação:</w:t>
      </w:r>
    </w:p>
    <w:p>
      <w:pPr>
        <w:spacing w:beforeAutospacing="1" w:afterAutospacing="1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Artigo 1°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Mogi Mirim poderá criar  o Complexo de Referência da Pessoa com Transtorno do Espectro Autista (TEA), denominado Centro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Referência do </w:t>
      </w:r>
      <w:r>
        <w:rPr>
          <w:rFonts w:ascii="Arial" w:eastAsia="Times New Roman" w:hAnsi="Arial" w:cs="Arial"/>
          <w:sz w:val="24"/>
          <w:szCs w:val="24"/>
          <w:lang w:eastAsia="pt-BR"/>
        </w:rPr>
        <w:t>Autista.</w:t>
      </w:r>
    </w:p>
    <w:p>
      <w:pPr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IV. Decisão da Relatora</w:t>
      </w:r>
    </w:p>
    <w:p>
      <w:pPr>
        <w:spacing w:before="240"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Portanto, diante do exposto e considerando a relevância e os benefícios associados, destacando a adequação necessária para sua constitucionalidade e adequação à legislação Estadual, , recebe assim parecer </w:t>
      </w:r>
      <w:r>
        <w:rPr>
          <w:rFonts w:ascii="Bookman Old Style" w:hAnsi="Bookman Old Style"/>
          <w:b/>
          <w:sz w:val="24"/>
          <w:szCs w:val="24"/>
        </w:rPr>
        <w:t>FAVORÁVEL</w:t>
      </w:r>
      <w:r>
        <w:rPr>
          <w:rFonts w:ascii="Bookman Old Style" w:hAnsi="Bookman Old Style"/>
          <w:sz w:val="24"/>
          <w:szCs w:val="24"/>
        </w:rPr>
        <w:t>.</w:t>
      </w:r>
    </w:p>
    <w:p>
      <w:pPr>
        <w:spacing w:before="240" w:after="0" w:line="360" w:lineRule="auto"/>
        <w:jc w:val="center"/>
        <w:rPr>
          <w:rFonts w:ascii="Bookman Old Style" w:hAnsi="Bookman Old Style"/>
          <w:sz w:val="24"/>
          <w:szCs w:val="24"/>
          <w:highlight w:val="white"/>
        </w:rPr>
      </w:pPr>
      <w:r>
        <w:rPr>
          <w:rFonts w:ascii="Bookman Old Style" w:hAnsi="Bookman Old Style"/>
          <w:sz w:val="24"/>
          <w:szCs w:val="24"/>
          <w:highlight w:val="white"/>
        </w:rPr>
        <w:t xml:space="preserve">Sala das Comissões, em </w:t>
      </w:r>
      <w:r>
        <w:rPr>
          <w:rFonts w:ascii="Bookman Old Style" w:hAnsi="Bookman Old Style"/>
          <w:sz w:val="24"/>
          <w:szCs w:val="24"/>
          <w:highlight w:val="white"/>
        </w:rPr>
        <w:t>11 de julho</w:t>
      </w:r>
      <w:r>
        <w:rPr>
          <w:rFonts w:ascii="Bookman Old Style" w:hAnsi="Bookman Old Style"/>
          <w:sz w:val="24"/>
          <w:szCs w:val="24"/>
          <w:highlight w:val="white"/>
        </w:rPr>
        <w:t xml:space="preserve"> de 2024.</w:t>
      </w:r>
    </w:p>
    <w:p>
      <w:pPr>
        <w:spacing w:before="240"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>
      <w:pPr>
        <w:spacing w:before="240" w:after="0" w:line="360" w:lineRule="auto"/>
        <w:jc w:val="center"/>
        <w:rPr>
          <w:rFonts w:ascii="Bookman Old Style" w:hAnsi="Bookman Old Style"/>
          <w:i/>
        </w:rPr>
      </w:pPr>
      <w:r>
        <w:rPr>
          <w:bCs/>
          <w:i/>
        </w:rPr>
        <w:t>(assinado digitalmente)</w:t>
      </w:r>
    </w:p>
    <w:p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highlight w:val="white"/>
          <w:u w:val="single"/>
        </w:rPr>
      </w:pPr>
      <w:r>
        <w:rPr>
          <w:rFonts w:ascii="Bookman Old Style" w:hAnsi="Bookman Old Style"/>
          <w:b/>
          <w:sz w:val="24"/>
          <w:szCs w:val="24"/>
          <w:highlight w:val="white"/>
          <w:u w:val="single"/>
        </w:rPr>
        <w:t>VEREADORA LUZIA CÔRTES NOGUEIRA</w:t>
      </w: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Presidente/ Relatora</w:t>
      </w:r>
    </w:p>
    <w:p>
      <w:pPr>
        <w:spacing w:before="240" w:after="0" w:line="360" w:lineRule="auto"/>
        <w:jc w:val="both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PARECER CONJUNTO DA COMISSÃO DE JUSTIÇA E REDAÇÃO, COMISSÃO DE EDUCAÇÃO, SAÚDE, CULTURA, ESPORTE E ASSISTÊNCIA SOCIAL E COMISSÃO  E COMISSÃO DE FINANÇAS E ORÇAMENTOS  AO PROJETO DE LEI N° 111 DE 2023.</w:t>
      </w:r>
    </w:p>
    <w:p>
      <w:pPr>
        <w:spacing w:before="240" w:after="0" w:line="360" w:lineRule="auto"/>
        <w:jc w:val="both"/>
        <w:rPr>
          <w:highlight w:val="none"/>
          <w:shd w:val="clear" w:color="auto" w:fill="auto"/>
        </w:rPr>
      </w:pPr>
      <w:r>
        <w:rPr>
          <w:rFonts w:ascii="Bookman Old Style" w:hAnsi="Bookman Old Style"/>
          <w:sz w:val="24"/>
          <w:szCs w:val="24"/>
          <w:shd w:val="clear" w:color="auto" w:fill="auto"/>
        </w:rPr>
        <w:t xml:space="preserve">Seguindo o voto exarado pela Relatora e conforme determinam os artigos 35, 37  e 39 da Resolução n.° 276 de 09 de novembro de 2010, a </w:t>
      </w:r>
      <w:r>
        <w:rPr>
          <w:rFonts w:ascii="Bookman Old Style" w:hAnsi="Bookman Old Style"/>
          <w:b/>
          <w:bCs/>
          <w:sz w:val="24"/>
          <w:szCs w:val="24"/>
          <w:shd w:val="clear" w:color="auto" w:fill="auto"/>
        </w:rPr>
        <w:t>COMISSÃO DE JUSTIÇA E REDAÇÃO</w:t>
      </w:r>
      <w:r>
        <w:rPr>
          <w:rFonts w:ascii="Bookman Old Style" w:hAnsi="Bookman Old Style"/>
          <w:sz w:val="24"/>
          <w:szCs w:val="24"/>
          <w:shd w:val="clear" w:color="auto" w:fill="auto"/>
        </w:rPr>
        <w:t xml:space="preserve"> conjuntamente com a </w:t>
      </w:r>
      <w:r>
        <w:rPr>
          <w:rFonts w:ascii="Bookman Old Style" w:hAnsi="Bookman Old Style"/>
          <w:b/>
          <w:sz w:val="24"/>
          <w:szCs w:val="24"/>
          <w:shd w:val="clear" w:color="auto" w:fill="auto"/>
        </w:rPr>
        <w:t>COMISSÃO DE EDUCAÇÃO, SAÚDE, CULTURA, ESPORTE E ASSISTÊNCIA SOCIAL E COMISSÃO  E COMISSÃO DE FINANÇAS E ORÇAMENTOS</w:t>
      </w:r>
      <w:r>
        <w:rPr>
          <w:rFonts w:ascii="Bookman Old Style" w:hAnsi="Bookman Old Style"/>
          <w:sz w:val="24"/>
          <w:szCs w:val="24"/>
          <w:shd w:val="clear" w:color="auto" w:fill="auto"/>
        </w:rPr>
        <w:t xml:space="preserve"> formalizam o presente </w:t>
      </w:r>
      <w:r>
        <w:rPr>
          <w:rFonts w:ascii="Bookman Old Style" w:hAnsi="Bookman Old Style"/>
          <w:b/>
          <w:sz w:val="24"/>
          <w:szCs w:val="24"/>
          <w:shd w:val="clear" w:color="auto" w:fill="auto"/>
        </w:rPr>
        <w:t>PARECER FAVORÁVEL</w:t>
      </w:r>
      <w:r>
        <w:rPr>
          <w:rFonts w:ascii="Bookman Old Style" w:hAnsi="Bookman Old Style"/>
          <w:sz w:val="24"/>
          <w:szCs w:val="24"/>
          <w:shd w:val="clear" w:color="auto" w:fill="auto"/>
        </w:rPr>
        <w:t xml:space="preserve"> ao Projeto de Lei 111/2023.</w:t>
      </w:r>
    </w:p>
    <w:p>
      <w:pPr>
        <w:spacing w:before="240" w:after="0" w:line="360" w:lineRule="auto"/>
        <w:jc w:val="both"/>
        <w:rPr>
          <w:highlight w:val="none"/>
          <w:shd w:val="clear" w:color="auto" w:fill="auto"/>
        </w:rPr>
      </w:pP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sz w:val="24"/>
          <w:szCs w:val="24"/>
          <w:shd w:val="clear" w:color="auto" w:fill="auto"/>
        </w:rPr>
        <w:t>Sala das Comissões, em 11 de julho de 2024.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u w:val="single"/>
          <w:shd w:val="clear" w:color="auto" w:fill="auto"/>
        </w:rPr>
        <w:t>COMISSÃO DE JUSTIÇA E REDAÇÃO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 JOÃO VICTOR GASPARINI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sz w:val="24"/>
          <w:szCs w:val="24"/>
          <w:shd w:val="clear" w:color="auto" w:fill="auto"/>
        </w:rPr>
        <w:t>Presidente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 ADEMIR SOUZA FLORETTI JUNIOR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Cs/>
          <w:sz w:val="24"/>
          <w:szCs w:val="24"/>
          <w:shd w:val="clear" w:color="auto" w:fill="auto"/>
        </w:rPr>
        <w:t>Vice-presidente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 MARCIO EVANDRO RIBEIRO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sz w:val="24"/>
          <w:szCs w:val="24"/>
          <w:shd w:val="clear" w:color="auto" w:fill="auto"/>
        </w:rPr>
        <w:t>Membro</w:t>
      </w: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>
      <w:pPr>
        <w:spacing w:before="240" w:after="0" w:line="360" w:lineRule="auto"/>
        <w:jc w:val="both"/>
        <w:rPr>
          <w:highlight w:val="none"/>
        </w:rPr>
      </w:pPr>
      <w:r>
        <w:rPr>
          <w:rFonts w:ascii="Bookman Old Style" w:hAnsi="Bookman Old Style"/>
          <w:b/>
          <w:sz w:val="24"/>
          <w:szCs w:val="24"/>
          <w:u w:val="single"/>
          <w:shd w:val="clear" w:color="auto" w:fill="auto"/>
        </w:rPr>
        <w:t>COMISSÃO DE EDUCAÇÃO, SAÚDE, CULTURA, ESPORTE E ASSISTÊNCIA SOCIAL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VEREADORA LUZIA CRISTINA CORTES NOGUEIRA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sz w:val="24"/>
          <w:szCs w:val="24"/>
          <w:shd w:val="clear" w:color="auto" w:fill="auto"/>
        </w:rPr>
        <w:t>Presidente/ Relatora</w:t>
      </w: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VEREADORA Dra. LUCIA  MARIA FERREIRA TENÓRIO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Cs/>
          <w:sz w:val="24"/>
          <w:szCs w:val="24"/>
          <w:shd w:val="clear" w:color="auto" w:fill="auto"/>
        </w:rPr>
        <w:t>Vice-presidente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VEREADORA JOELMA FRANCO DA CUNHA</w:t>
      </w: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white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shd w:val="clear" w:color="auto" w:fill="auto"/>
        </w:rPr>
        <w:t>Membro</w:t>
      </w: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white"/>
        </w:rPr>
      </w:pP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u w:val="single"/>
          <w:shd w:val="clear" w:color="auto" w:fill="auto"/>
        </w:rPr>
        <w:t>COMISSÃO DE FINANÇAS E ORÇAMENTO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 JOÃO VICTOR GASPARINI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sz w:val="24"/>
          <w:szCs w:val="24"/>
          <w:shd w:val="clear" w:color="auto" w:fill="auto"/>
        </w:rPr>
        <w:t>Presidente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VEREADORA MARA CRISTINA CHOQUETTA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Cs/>
          <w:sz w:val="24"/>
          <w:szCs w:val="24"/>
          <w:shd w:val="clear" w:color="auto" w:fill="auto"/>
        </w:rPr>
        <w:t>Vice-presidente</w:t>
      </w:r>
    </w:p>
    <w:p>
      <w:pPr>
        <w:spacing w:before="240" w:after="0" w:line="360" w:lineRule="auto"/>
        <w:jc w:val="center"/>
        <w:rPr>
          <w:highlight w:val="none"/>
          <w:shd w:val="clear" w:color="auto" w:fill="auto"/>
        </w:rPr>
      </w:pPr>
      <w:r>
        <w:rPr>
          <w:bCs/>
          <w:i/>
          <w:shd w:val="clear" w:color="auto" w:fill="auto"/>
        </w:rPr>
        <w:t>(assinado digitalmente)</w:t>
      </w:r>
    </w:p>
    <w:p>
      <w:pPr>
        <w:spacing w:line="360" w:lineRule="auto"/>
        <w:jc w:val="center"/>
        <w:rPr>
          <w:highlight w:val="none"/>
          <w:shd w:val="clear" w:color="auto" w:fill="auto"/>
        </w:rPr>
      </w:pPr>
      <w:r>
        <w:rPr>
          <w:rFonts w:ascii="Bookman Old Style" w:hAnsi="Bookman Old Style"/>
          <w:b/>
          <w:sz w:val="24"/>
          <w:szCs w:val="24"/>
          <w:shd w:val="clear" w:color="auto" w:fill="auto"/>
        </w:rPr>
        <w:t>VEREADORA LUZIA CRISTINA CORTES NOGUEIRA</w:t>
      </w:r>
    </w:p>
    <w:p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white"/>
        </w:rPr>
      </w:pPr>
      <w:r>
        <w:rPr>
          <w:rFonts w:ascii="Bookman Old Style" w:hAnsi="Bookman Old Style"/>
          <w:sz w:val="24"/>
          <w:szCs w:val="24"/>
          <w:shd w:val="clear" w:color="auto" w:fill="auto"/>
        </w:rPr>
        <w:t>Membro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701" w:right="1134" w:bottom="1134" w:left="1701" w:header="720" w:footer="720" w:gutter="0"/>
      <w:pgNumType w:fmt="decimal" w:start="1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lear" w:pos="720"/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>
    <w:pPr>
      <w:tabs>
        <w:tab w:val="clear" w:pos="720"/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>
    <w:pPr>
      <w:tabs>
        <w:tab w:val="clear" w:pos="720"/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120" cy="9429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591580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>
    <w:pPr>
      <w:ind w:right="360" w:firstLine="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>
    <w:pPr>
      <w:ind w:right="360" w:firstLine="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</w:p>
  <w:p>
    <w:pPr>
      <w:ind w:right="360" w:firstLine="0"/>
      <w:jc w:val="right"/>
      <w:rPr>
        <w:sz w:val="18"/>
        <w:szCs w:val="18"/>
      </w:rPr>
    </w:pPr>
    <w:r>
      <w:rPr>
        <w:rFonts w:ascii="Bookman Old Style" w:eastAsia="Arial" w:hAnsi="Bookman Old Style" w:cs="Arial"/>
        <w:b/>
        <w:color w:val="000000"/>
        <w:sz w:val="18"/>
        <w:szCs w:val="18"/>
      </w:rPr>
      <w:t>Projeto de Lei 111/2023.</w:t>
    </w:r>
  </w:p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120" cy="94297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319915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>
    <w:pPr>
      <w:ind w:right="360" w:firstLine="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>
    <w:pPr>
      <w:ind w:right="360" w:firstLine="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</w:p>
  <w:p>
    <w:pPr>
      <w:ind w:right="360" w:firstLine="0"/>
      <w:jc w:val="right"/>
      <w:rPr>
        <w:sz w:val="18"/>
        <w:szCs w:val="18"/>
      </w:rPr>
    </w:pPr>
    <w:r>
      <w:rPr>
        <w:rFonts w:ascii="Bookman Old Style" w:eastAsia="Arial" w:hAnsi="Bookman Old Style" w:cs="Arial"/>
        <w:b/>
        <w:color w:val="000000"/>
        <w:sz w:val="18"/>
        <w:szCs w:val="18"/>
      </w:rPr>
      <w:t>Projeto de Lei 111/2023.</w:t>
    </w:r>
  </w:p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191F2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3B7AD276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customStyle="1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EE457C"/>
    <w:rPr>
      <w:color w:val="0000FF"/>
      <w:u w:val="single"/>
    </w:rPr>
  </w:style>
  <w:style w:type="character" w:customStyle="1" w:styleId="RodapChar">
    <w:name w:val="Rodapé Char"/>
    <w:basedOn w:val="DefaultParagraphFont"/>
    <w:uiPriority w:val="99"/>
    <w:qFormat/>
    <w:rsid w:val="00B57090"/>
  </w:style>
  <w:style w:type="character" w:customStyle="1" w:styleId="CabealhoChar">
    <w:name w:val="Cabeçalho Char"/>
    <w:basedOn w:val="DefaultParagraphFont"/>
    <w:uiPriority w:val="99"/>
    <w:qFormat/>
    <w:rsid w:val="00B57090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8178E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DefaultParagraphFont"/>
    <w:qFormat/>
    <w:rsid w:val="0057515A"/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rsid w:val="0057515A"/>
    <w:pPr>
      <w:suppressAutoHyphens/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EE457C"/>
    <w:pPr>
      <w:spacing w:beforeAutospacing="1" w:afterAutospacing="1"/>
    </w:pPr>
    <w:rPr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unhideWhenUsed/>
    <w:rsid w:val="00B57090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unhideWhenUsed/>
    <w:rsid w:val="00B57090"/>
    <w:pPr>
      <w:tabs>
        <w:tab w:val="clear" w:pos="720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before="0" w:after="0" w:line="276" w:lineRule="auto"/>
      <w:ind w:left="720" w:firstLine="0"/>
      <w:contextualSpacing/>
    </w:pPr>
    <w:rPr>
      <w:rFonts w:ascii="Arial" w:eastAsia="Arial" w:hAnsi="Arial" w:cs="Arial"/>
      <w:sz w:val="22"/>
      <w:szCs w:val="22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1504</Words>
  <Characters>8559</Characters>
  <Application>Microsoft Office Word</Application>
  <DocSecurity>0</DocSecurity>
  <Lines>0</Lines>
  <Paragraphs>95</Paragraphs>
  <ScaleCrop>false</ScaleCrop>
  <Company/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revision>13</cp:revision>
  <cp:lastPrinted>2024-07-12T14:23:23Z</cp:lastPrinted>
  <dcterms:created xsi:type="dcterms:W3CDTF">2024-05-29T13:43:00Z</dcterms:created>
  <dcterms:modified xsi:type="dcterms:W3CDTF">2024-07-11T16:49:46Z</dcterms:modified>
  <dc:language>pt-BR</dc:language>
</cp:coreProperties>
</file>