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>
      <w:pPr>
        <w:jc w:val="center"/>
      </w:pPr>
      <w:r>
        <w:rPr>
          <w:rFonts w:ascii="Bookman Old Style" w:hAnsi="Bookman Old Style" w:cstheme="minorHAnsi"/>
          <w:b/>
          <w:sz w:val="24"/>
          <w:szCs w:val="24"/>
          <w:u w:val="single"/>
        </w:rPr>
        <w:t>RELATÓRIO</w:t>
      </w:r>
    </w:p>
    <w:p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>
      <w:pPr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b/>
          <w:sz w:val="24"/>
          <w:szCs w:val="24"/>
          <w:u w:val="single"/>
        </w:rPr>
        <w:t>PROCESSO Nº 22 de 2025</w:t>
      </w:r>
    </w:p>
    <w:p>
      <w:pPr>
        <w:jc w:val="both"/>
        <w:rPr>
          <w:rFonts w:ascii="Bookman Old Style" w:hAnsi="Bookman Old Style" w:cstheme="minorHAnsi"/>
          <w:sz w:val="24"/>
          <w:szCs w:val="24"/>
        </w:rPr>
      </w:pPr>
    </w:p>
    <w:p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>
      <w:pPr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sz w:val="24"/>
          <w:szCs w:val="24"/>
        </w:rPr>
        <w:tab/>
        <w:t xml:space="preserve">Conforme determinam os artigos 35 e 37 do Regimento Interno Vigente, a </w:t>
      </w:r>
      <w:r>
        <w:rPr>
          <w:rFonts w:ascii="Bookman Old Style" w:hAnsi="Bookman Old Style" w:cstheme="minorHAnsi"/>
          <w:b/>
          <w:bCs/>
          <w:sz w:val="24"/>
          <w:szCs w:val="24"/>
        </w:rPr>
        <w:t>COMISSÃO DE JUSTIÇA E REDAÇÃO E A COMISSÃO DE FINANÇAS E ORÇAMENTO</w:t>
      </w:r>
      <w:r>
        <w:rPr>
          <w:rFonts w:ascii="Bookman Old Style" w:hAnsi="Bookman Old Style" w:cstheme="minorHAnsi"/>
          <w:b w:val="0"/>
          <w:bCs w:val="0"/>
          <w:sz w:val="24"/>
          <w:szCs w:val="24"/>
        </w:rPr>
        <w:t xml:space="preserve"> têm a competência de </w:t>
      </w:r>
      <w:r>
        <w:rPr>
          <w:rFonts w:ascii="Bookman Old Style" w:hAnsi="Bookman Old Style" w:cstheme="minorHAnsi"/>
          <w:sz w:val="24"/>
          <w:szCs w:val="24"/>
        </w:rPr>
        <w:t xml:space="preserve">apresentar o presente Relatório em relação ao </w:t>
      </w:r>
      <w:r>
        <w:rPr>
          <w:rFonts w:ascii="Bookman Old Style" w:hAnsi="Bookman Old Style" w:cstheme="minorHAnsi"/>
          <w:color w:val="000000"/>
          <w:sz w:val="24"/>
          <w:szCs w:val="24"/>
        </w:rPr>
        <w:t>Projeto de Lei Complementar nº 02/2025</w:t>
      </w:r>
      <w:r>
        <w:rPr>
          <w:rFonts w:ascii="Bookman Old Style" w:hAnsi="Bookman Old Style" w:cstheme="minorHAnsi"/>
          <w:sz w:val="24"/>
          <w:szCs w:val="24"/>
        </w:rPr>
        <w:t xml:space="preserve">, de autoria do </w:t>
      </w:r>
      <w:r>
        <w:rPr>
          <w:rFonts w:ascii="Bookman Old Style" w:hAnsi="Bookman Old Style" w:cstheme="minorHAnsi"/>
          <w:b/>
          <w:bCs/>
          <w:sz w:val="24"/>
          <w:szCs w:val="24"/>
        </w:rPr>
        <w:t>Prefeito Municipal Paulo de Oliveira e Silva</w:t>
      </w:r>
      <w:r>
        <w:rPr>
          <w:rFonts w:ascii="Bookman Old Style" w:hAnsi="Bookman Old Style" w:cstheme="minorHAnsi"/>
          <w:sz w:val="24"/>
          <w:szCs w:val="24"/>
        </w:rPr>
        <w:t xml:space="preserve">, cuja a relatoria foi atribuída ao </w:t>
      </w:r>
      <w:r>
        <w:rPr>
          <w:rFonts w:ascii="Bookman Old Style" w:hAnsi="Bookman Old Style" w:cstheme="minorHAnsi"/>
          <w:b/>
          <w:bCs/>
          <w:sz w:val="24"/>
          <w:szCs w:val="24"/>
        </w:rPr>
        <w:t xml:space="preserve">Vereador Marcos Paulo Cegatti. </w:t>
      </w:r>
    </w:p>
    <w:p>
      <w:pPr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sz w:val="24"/>
          <w:szCs w:val="24"/>
        </w:rPr>
        <w:tab/>
      </w:r>
    </w:p>
    <w:p>
      <w:pPr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sz w:val="24"/>
          <w:szCs w:val="24"/>
        </w:rPr>
        <w:tab/>
      </w:r>
    </w:p>
    <w:p>
      <w:pPr>
        <w:jc w:val="both"/>
        <w:rPr>
          <w:rFonts w:ascii="Bookman Old Style" w:hAnsi="Bookman Old Style"/>
        </w:rPr>
      </w:pPr>
    </w:p>
    <w:p>
      <w:pPr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ab/>
        <w:t>I. Exposição da Matéria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color w:val="000000"/>
          <w:sz w:val="24"/>
          <w:szCs w:val="24"/>
        </w:rPr>
        <w:tab/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O Projeto de Lei Complementar nº 02/2025</w:t>
      </w:r>
      <w:r>
        <w:rPr>
          <w:rFonts w:ascii="Bookman Old Style" w:hAnsi="Bookman Old Style" w:cstheme="minorHAnsi"/>
          <w:color w:val="000000"/>
          <w:sz w:val="24"/>
          <w:szCs w:val="24"/>
        </w:rPr>
        <w:t>, de autoria do Prefeito Municipal, propõe alterações na Lei Complementar Municipal nº 205/2006, que dispõe sobre o quadro de pessoal, o plano de empregos, salários e carreiras da Prefeitura de Mogi Mirim. O projeto visa ajustar as fórmulas de cálculo dos adicionais por tempo de serviço (biênio, quinquênio e sexta parte), com o objetivo de evitar o chamado “efeito cascata” e o pagamento duplicado pelo mesmo fato gerador (tempo de serviço), conforme vedação expressa no artigo 37, inciso XIV, da Constituição Federal.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color w:val="000000"/>
          <w:sz w:val="24"/>
          <w:szCs w:val="24"/>
        </w:rPr>
        <w:tab/>
        <w:t>O projeto propõe as seguintes alterações: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color w:val="000000"/>
          <w:sz w:val="24"/>
          <w:szCs w:val="24"/>
        </w:rPr>
        <w:tab/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Biênio: </w:t>
      </w:r>
      <w:r>
        <w:rPr>
          <w:rFonts w:ascii="Bookman Old Style" w:hAnsi="Bookman Old Style" w:cstheme="minorHAnsi"/>
          <w:color w:val="000000"/>
          <w:sz w:val="24"/>
          <w:szCs w:val="24"/>
        </w:rPr>
        <w:t>Adicional de 4% sobre a referência salarial do servidor, a cada 2 anos de serviço efetivamente prestado e ininterrupto ao Município.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color w:val="000000"/>
          <w:sz w:val="24"/>
          <w:szCs w:val="24"/>
        </w:rPr>
        <w:tab/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Quinquênio: </w:t>
      </w:r>
      <w:r>
        <w:rPr>
          <w:rFonts w:ascii="Bookman Old Style" w:hAnsi="Bookman Old Style" w:cstheme="minorHAnsi"/>
          <w:color w:val="000000"/>
          <w:sz w:val="24"/>
          <w:szCs w:val="24"/>
        </w:rPr>
        <w:t>Adicional de 5% sobre a referência salarial do servidor, a cada 5 anos de serviço efetivamente prestado e ininterrupto ao Município, sem cômputo do biênio, sob pena de bis in idem.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color w:val="000000"/>
          <w:sz w:val="24"/>
          <w:szCs w:val="24"/>
        </w:rPr>
        <w:tab/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Sexta parte:</w:t>
      </w:r>
      <w:r>
        <w:rPr>
          <w:rFonts w:ascii="Bookman Old Style" w:hAnsi="Bookman Old Style" w:cstheme="minorHAnsi"/>
          <w:color w:val="000000"/>
          <w:sz w:val="24"/>
          <w:szCs w:val="24"/>
        </w:rPr>
        <w:t xml:space="preserve"> Adicional de 1/6 da referência salarial do servidor, devida ao servidor que contar com 25 anos ou mais de serviço efetivamente prestado e ininterrupto ao Município, sem cômputo do biênio e do quinquênio.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color w:val="000000"/>
          <w:sz w:val="24"/>
          <w:szCs w:val="24"/>
        </w:rPr>
        <w:tab/>
        <w:t>O projeto também estabelece regras de transição, consolidando os valores já recebidos pelos servidores e limitando a concessão dos benefícios até a sexta-parte.</w:t>
      </w:r>
    </w:p>
    <w:p>
      <w:pPr>
        <w:pStyle w:val="BodyText"/>
        <w:spacing w:before="240" w:after="0" w:line="24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sz w:val="24"/>
          <w:szCs w:val="24"/>
        </w:rPr>
        <w:br/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iCs/>
          <w:color w:val="000000"/>
          <w:sz w:val="24"/>
          <w:szCs w:val="24"/>
        </w:rPr>
        <w:tab/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>II.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  <w:lang w:eastAsia="ar-SA"/>
        </w:rPr>
        <w:t xml:space="preserve"> LEGALIDADE E CONSTITUCIONALIDADE</w:t>
      </w:r>
    </w:p>
    <w:p>
      <w:pPr>
        <w:pStyle w:val="BodyText"/>
        <w:spacing w:before="240" w:after="0" w:line="240" w:lineRule="auto"/>
        <w:jc w:val="both"/>
        <w:rPr>
          <w:b w:val="0"/>
          <w:bCs w:val="0"/>
        </w:rPr>
      </w:pPr>
      <w:r>
        <w:rPr>
          <w:rFonts w:ascii="Bookman Old Style" w:hAnsi="Bookman Old Style" w:cstheme="minorHAnsi"/>
          <w:b w:val="0"/>
          <w:bCs w:val="0"/>
          <w:color w:val="000000"/>
          <w:sz w:val="24"/>
          <w:szCs w:val="24"/>
          <w:lang w:eastAsia="ar-SA"/>
        </w:rPr>
        <w:tab/>
      </w:r>
    </w:p>
    <w:p>
      <w:pPr>
        <w:pStyle w:val="BodyText"/>
        <w:spacing w:before="240" w:after="0" w:line="240" w:lineRule="auto"/>
        <w:jc w:val="both"/>
        <w:rPr>
          <w:b w:val="0"/>
          <w:bCs w:val="0"/>
        </w:rPr>
      </w:pPr>
      <w:r>
        <w:rPr>
          <w:rFonts w:ascii="Bookman Old Style" w:hAnsi="Bookman Old Style" w:cstheme="minorHAnsi"/>
          <w:b w:val="0"/>
          <w:bCs w:val="0"/>
          <w:color w:val="000000"/>
          <w:sz w:val="24"/>
          <w:szCs w:val="24"/>
          <w:lang w:eastAsia="ar-SA"/>
        </w:rPr>
        <w:tab/>
        <w:t xml:space="preserve">O projeto está em conformidade com os princípios constitucionais e legais, não apresentando vícios de inconstitucionalidade ou ilegalidade. A iniciativa legislativa encontra respaldo no artigo 30, inciso I, da Constituição Federal, que atribui aos municípios a competência para legislar sobre assuntos de interesse local. </w:t>
      </w:r>
    </w:p>
    <w:p>
      <w:pPr>
        <w:pStyle w:val="BodyText"/>
        <w:spacing w:before="240" w:after="0" w:line="240" w:lineRule="auto"/>
        <w:jc w:val="both"/>
        <w:rPr>
          <w:b w:val="0"/>
          <w:bCs w:val="0"/>
        </w:rPr>
      </w:pPr>
      <w:r>
        <w:rPr>
          <w:rFonts w:ascii="Bookman Old Style" w:hAnsi="Bookman Old Style" w:cstheme="minorHAnsi"/>
          <w:b w:val="0"/>
          <w:bCs w:val="0"/>
          <w:color w:val="000000"/>
          <w:sz w:val="24"/>
          <w:szCs w:val="24"/>
          <w:lang w:eastAsia="ar-SA"/>
        </w:rPr>
        <w:tab/>
        <w:t>O artigo 37, inciso XIV, da Constituição Federal, veda o cômputo e a acumulação de acréscimos pecuniários para fins de concessão de acréscimos ulteriores, o que é conhecido como “efeito cascata”. A Emenda Constitucional nº 19/1998 ampliou o alcance dessa vedação, excluindo a necessidade de que os acréscimos fossem concedidos sob o mesmo título ou idêntico fundamento. Portanto, a base de cálculo para acréscimos ulteriores deve ser exclusivamente o vencimento básico do servidor, excluindo-se os adicionais e vantagens já concedidos.</w:t>
      </w:r>
    </w:p>
    <w:p>
      <w:pPr>
        <w:pStyle w:val="BodyText"/>
        <w:spacing w:before="240" w:after="0" w:line="240" w:lineRule="auto"/>
        <w:jc w:val="both"/>
        <w:rPr>
          <w:b w:val="0"/>
          <w:bCs w:val="0"/>
        </w:rPr>
      </w:pPr>
      <w:r>
        <w:rPr>
          <w:rFonts w:ascii="Bookman Old Style" w:hAnsi="Bookman Old Style" w:cstheme="minorHAnsi"/>
          <w:b w:val="0"/>
          <w:bCs w:val="0"/>
          <w:color w:val="000000"/>
          <w:sz w:val="24"/>
          <w:szCs w:val="24"/>
          <w:lang w:eastAsia="ar-SA"/>
        </w:rPr>
        <w:tab/>
        <w:t>Conforme destacado na Consulta/0078/2025/JG/G, realizada pela assessoria jurídica externa, o projeto respeita os limites constitucionais, evitando o "efeito repicão" e o pagamento duplicado pelo mesmo fato gerador. A jurisprudência do Supremo Tribunal Federal (STF) e do Tribunal de Justiça de São Paulo (TJSP) é pacífica no sentido de que não é permitido o acúmulo de vantagens pecuniárias com idêntico fundamento, conforme decisões como o Recurso Extraordinário nº 587.123 e a Apelação Cível nº 9121141-62.2002.8.26.0000.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 w:cstheme="minorHAnsi"/>
          <w:color w:val="000000"/>
          <w:sz w:val="24"/>
          <w:szCs w:val="24"/>
          <w:lang w:eastAsia="ar-SA"/>
        </w:rPr>
      </w:pPr>
    </w:p>
    <w:p>
      <w:pPr>
        <w:pStyle w:val="BodyText"/>
        <w:jc w:val="both"/>
        <w:rPr>
          <w:rFonts w:ascii="Bookman Old Style" w:eastAsia="Calibri" w:hAnsi="Bookman Old Style" w:cstheme="minorHAnsi"/>
          <w:bCs/>
          <w:color w:val="000000"/>
          <w:sz w:val="24"/>
          <w:szCs w:val="24"/>
          <w:lang w:eastAsia="ar-SA"/>
        </w:rPr>
      </w:pPr>
    </w:p>
    <w:p>
      <w:pPr>
        <w:pStyle w:val="BodyText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  <w:r>
        <w:rPr>
          <w:rFonts w:ascii="Bookman Old Style" w:hAnsi="Bookman Old Style" w:cstheme="minorHAnsi"/>
          <w:b/>
          <w:bCs/>
          <w:sz w:val="24"/>
          <w:szCs w:val="24"/>
        </w:rPr>
        <w:t>III. IMPACTO FINANCEIRO E ORÇAMENTÁRIO</w:t>
      </w:r>
    </w:p>
    <w:p>
      <w:pPr>
        <w:pStyle w:val="BodyText"/>
        <w:jc w:val="both"/>
        <w:rPr>
          <w:rFonts w:ascii="Bookman Old Style" w:hAnsi="Bookman Old Style" w:cstheme="minorHAnsi"/>
          <w:sz w:val="24"/>
          <w:szCs w:val="24"/>
        </w:rPr>
      </w:pPr>
    </w:p>
    <w:p>
      <w:pPr>
        <w:pStyle w:val="BodyText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  <w:t>A Comissão de Finanças e Orçamento analisou o projeto e concluiu que a proposta não gera impactos financeiros significativos ao erário municipal. Pelo contrário, a alteração na fórmula de cálculo dos adicionais pode resultar em economia de recursos públicos, ao evitar o "efeito cascata" e reduzir os custos com pessoal. A estimativa é que, entre 2025 e 2028, a economia possa chegar a R$ 30 milhões.</w:t>
      </w:r>
    </w:p>
    <w:p>
      <w:pPr>
        <w:pStyle w:val="BodyText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  <w:t>A Certidão de Não Impacto Orçamentário, emitida pela Secretaria de Administração, atesta que a alteração e inclusão de dispositivos não implicará aumento de despesas, podendo ser implementada dentro das limitações orçamentárias atuais.</w:t>
      </w: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eastAsia="Arial" w:hAnsi="Bookman Old Style" w:cstheme="minorHAnsi"/>
          <w:b/>
          <w:color w:val="000000"/>
          <w:sz w:val="24"/>
          <w:szCs w:val="24"/>
        </w:rPr>
        <w:t>IV. Substitutivos, Emendas ou subemendas ao Projeto</w:t>
      </w: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eastAsia="Arial" w:hAnsi="Bookman Old Style" w:cstheme="minorHAnsi"/>
          <w:b/>
          <w:color w:val="000000"/>
          <w:sz w:val="24"/>
          <w:szCs w:val="24"/>
        </w:rPr>
        <w:tab/>
      </w:r>
      <w:r>
        <w:rPr>
          <w:rFonts w:ascii="Bookman Old Style" w:eastAsia="Arial" w:hAnsi="Bookman Old Style" w:cstheme="minorHAnsi"/>
          <w:b w:val="0"/>
          <w:bCs w:val="0"/>
          <w:color w:val="000000"/>
          <w:sz w:val="24"/>
          <w:szCs w:val="24"/>
        </w:rPr>
        <w:t>Após criteriosa avaliação, esta Relatoria não identificou a necessidade de propor emendas, subemendas ou substitutivos ao projeto em análise. A proposição encontra-se bem fundamentada e alinhada com os interesses da coletividade.</w:t>
      </w: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>IV. Decisão do Relator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eastAsia="Arial" w:hAnsi="Bookman Old Style" w:cstheme="minorHAnsi"/>
          <w:color w:val="000000"/>
          <w:sz w:val="24"/>
          <w:szCs w:val="24"/>
        </w:rPr>
        <w:tab/>
        <w:t>Após análise detalhada do projeto, a Comissão de Justiça e Redação conclui que o Projeto de Lei Complementar nº 02/2025 está em conformidade com as normas constitucionais e legais, não apresentando vícios de inconstitucionalidade ou ilegalidade. A proposta respeita os princípios da separação dos poderes e da vedação ao “efeito cascata”, conforme estabelecido no artigo 37, inciso XIV, da Constituição Federal.</w:t>
      </w: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eastAsia="Arial" w:hAnsi="Bookman Old Style" w:cstheme="minorHAnsi"/>
          <w:color w:val="000000"/>
          <w:sz w:val="24"/>
          <w:szCs w:val="24"/>
        </w:rPr>
        <w:tab/>
        <w:t>A iniciativa legislativa é oportuna e conveniente, considerando o contexto fiscal do município e a necessidade de ajustes nas fórmulas de cálculo dos adicionais por tempo de serviço, visando a sustentabilidade financeira e a transparência na gestão pública.</w:t>
      </w: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i w:val="0"/>
          <w:iCs w:val="0"/>
        </w:rPr>
      </w:pPr>
      <w:r>
        <w:rPr>
          <w:rFonts w:ascii="Bookman Old Style" w:hAnsi="Bookman Old Style" w:cstheme="minorHAnsi"/>
          <w:b/>
          <w:i w:val="0"/>
          <w:iCs w:val="0"/>
          <w:sz w:val="24"/>
          <w:szCs w:val="24"/>
        </w:rPr>
        <w:t>Vereador Marcos Paulo Cegatti</w:t>
      </w:r>
    </w:p>
    <w:p>
      <w:pPr>
        <w:jc w:val="center"/>
        <w:rPr>
          <w:rFonts w:ascii="Bookman Old Style" w:hAnsi="Bookman Old Style"/>
          <w:i w:val="0"/>
          <w:iCs w:val="0"/>
        </w:rPr>
      </w:pPr>
      <w:r>
        <w:rPr>
          <w:rFonts w:ascii="Bookman Old Style" w:eastAsia="Arial" w:hAnsi="Bookman Old Style" w:cstheme="minorHAnsi"/>
          <w:i w:val="0"/>
          <w:iCs w:val="0"/>
          <w:sz w:val="24"/>
          <w:szCs w:val="24"/>
        </w:rPr>
        <w:t>Membro da Comissão</w:t>
      </w:r>
    </w:p>
    <w:p>
      <w:pPr>
        <w:jc w:val="left"/>
        <w:rPr>
          <w:rFonts w:ascii="Bookman Old Style" w:hAnsi="Bookman Old Style" w:cstheme="minorHAnsi"/>
          <w:b/>
          <w:bCs/>
          <w:iCs/>
          <w:sz w:val="22"/>
          <w:szCs w:val="22"/>
        </w:rPr>
      </w:pPr>
    </w:p>
    <w:p>
      <w:pPr>
        <w:jc w:val="both"/>
        <w:rPr>
          <w:rFonts w:ascii="Bookman Old Style" w:hAnsi="Bookman Old Style" w:cstheme="minorHAnsi"/>
          <w:b/>
          <w:bCs/>
          <w:iCs/>
          <w:sz w:val="22"/>
          <w:szCs w:val="22"/>
        </w:rPr>
      </w:pPr>
      <w:r>
        <w:rPr>
          <w:rFonts w:ascii="Bookman Old Style" w:hAnsi="Bookman Old Style" w:cstheme="minorHAnsi"/>
          <w:b/>
          <w:bCs/>
          <w:iCs/>
          <w:sz w:val="22"/>
          <w:szCs w:val="22"/>
        </w:rPr>
        <mc:AlternateContent>
          <mc:Choice Requires="wps">
            <w:drawing>
              <wp:anchor distT="635" distB="635" distL="635" distR="635" simplePos="0" relativeHeight="251659264" behindDoc="0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92075</wp:posOffset>
                </wp:positionV>
                <wp:extent cx="5819775" cy="635"/>
                <wp:effectExtent l="635" t="635" r="635" b="635"/>
                <wp:wrapNone/>
                <wp:docPr id="1" name="Linha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1976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-1.75pt,7.25pt" to="456.45pt,7.25pt" o:allowincell="f" stroked="t" strokecolor="#3465a4">
                <v:fill o:detectmouseclick="t"/>
                <v:stroke joinstyle="round" endcap="flat"/>
              </v:line>
            </w:pict>
          </mc:Fallback>
        </mc:AlternateContent>
      </w:r>
    </w:p>
    <w:p>
      <w:pPr>
        <w:jc w:val="both"/>
        <w:rPr>
          <w:rFonts w:ascii="Bookman Old Style" w:hAnsi="Bookman Old Style" w:cstheme="minorHAnsi"/>
          <w:b/>
          <w:bCs/>
          <w:iCs/>
          <w:sz w:val="21"/>
          <w:szCs w:val="21"/>
        </w:rPr>
      </w:pPr>
      <w:r>
        <w:rPr>
          <w:rFonts w:ascii="Bookman Old Style" w:hAnsi="Bookman Old Style" w:cstheme="minorHAnsi"/>
          <w:b/>
          <w:bCs/>
          <w:iCs/>
          <w:sz w:val="21"/>
          <w:szCs w:val="21"/>
        </w:rPr>
        <w:t>REFERÊNCIAS:</w:t>
      </w:r>
    </w:p>
    <w:p>
      <w:pPr>
        <w:jc w:val="both"/>
        <w:rPr>
          <w:rFonts w:ascii="Bookman Old Style" w:hAnsi="Bookman Old Style" w:cstheme="minorHAnsi"/>
          <w:iCs/>
          <w:sz w:val="21"/>
          <w:szCs w:val="21"/>
        </w:rPr>
      </w:pPr>
      <w:r>
        <w:rPr>
          <w:rFonts w:ascii="Bookman Old Style" w:hAnsi="Bookman Old Style" w:cstheme="minorHAnsi"/>
          <w:b/>
          <w:bCs/>
          <w:iCs/>
          <w:sz w:val="21"/>
          <w:szCs w:val="21"/>
        </w:rPr>
        <w:t>1.Consulta/0078/2025/JG/G,</w:t>
      </w:r>
      <w:r>
        <w:rPr>
          <w:rFonts w:ascii="Bookman Old Style" w:hAnsi="Bookman Old Style" w:cstheme="minorHAnsi"/>
          <w:iCs/>
          <w:sz w:val="21"/>
          <w:szCs w:val="21"/>
        </w:rPr>
        <w:t xml:space="preserve"> elaborada pela assessoria jurídica externa, que aponta a necessidade de ajustes no projeto para evitar vícios de constitucionalidade formal, especialmente no que diz respeito à imposição de obrigações ao Poder Executivo.</w:t>
      </w:r>
    </w:p>
    <w:p>
      <w:pPr>
        <w:jc w:val="both"/>
        <w:rPr>
          <w:rFonts w:ascii="Bookman Old Style" w:hAnsi="Bookman Old Style" w:cstheme="minorHAnsi"/>
          <w:iCs/>
          <w:sz w:val="21"/>
          <w:szCs w:val="21"/>
        </w:rPr>
      </w:pPr>
    </w:p>
    <w:p>
      <w:pPr>
        <w:jc w:val="both"/>
        <w:rPr>
          <w:rFonts w:ascii="Bookman Old Style" w:hAnsi="Bookman Old Style" w:cstheme="minorHAnsi"/>
          <w:iCs/>
          <w:sz w:val="21"/>
          <w:szCs w:val="21"/>
        </w:rPr>
      </w:pPr>
      <w:r>
        <w:rPr>
          <w:rFonts w:ascii="Bookman Old Style" w:hAnsi="Bookman Old Style" w:cstheme="minorHAnsi"/>
          <w:b/>
          <w:bCs/>
          <w:iCs/>
          <w:sz w:val="21"/>
          <w:szCs w:val="21"/>
        </w:rPr>
        <w:t>2. Artigo 37, inciso XIV, da Constituição Federal,</w:t>
      </w:r>
      <w:r>
        <w:rPr>
          <w:rFonts w:ascii="Bookman Old Style" w:hAnsi="Bookman Old Style" w:cstheme="minorHAnsi"/>
          <w:iCs/>
          <w:sz w:val="21"/>
          <w:szCs w:val="21"/>
        </w:rPr>
        <w:t xml:space="preserve"> que veda o cômputo e a acumulação de acréscimos pecuniários para fins de concessão de acréscimos ulteriores.</w:t>
      </w:r>
    </w:p>
    <w:p>
      <w:pPr>
        <w:jc w:val="both"/>
        <w:rPr>
          <w:rFonts w:ascii="Bookman Old Style" w:hAnsi="Bookman Old Style" w:cstheme="minorHAnsi"/>
          <w:iCs/>
          <w:sz w:val="21"/>
          <w:szCs w:val="21"/>
        </w:rPr>
      </w:pPr>
    </w:p>
    <w:p>
      <w:pPr>
        <w:jc w:val="both"/>
        <w:rPr>
          <w:rFonts w:ascii="Bookman Old Style" w:hAnsi="Bookman Old Style" w:cstheme="minorHAnsi"/>
          <w:iCs/>
          <w:sz w:val="21"/>
          <w:szCs w:val="21"/>
        </w:rPr>
      </w:pPr>
      <w:r>
        <w:rPr>
          <w:rFonts w:ascii="Bookman Old Style" w:hAnsi="Bookman Old Style" w:cstheme="minorHAnsi"/>
          <w:b/>
          <w:bCs/>
          <w:iCs/>
          <w:sz w:val="21"/>
          <w:szCs w:val="21"/>
        </w:rPr>
        <w:t>3.Recurso Extraordinário nº 587.123,</w:t>
      </w:r>
      <w:r>
        <w:rPr>
          <w:rFonts w:ascii="Bookman Old Style" w:hAnsi="Bookman Old Style" w:cstheme="minorHAnsi"/>
          <w:iCs/>
          <w:sz w:val="21"/>
          <w:szCs w:val="21"/>
        </w:rPr>
        <w:t xml:space="preserve"> do Supremo Tribunal Federal, que julgou improcedente o acúmulo de vantagens pecuniárias com idêntico fundamento.</w:t>
      </w:r>
    </w:p>
    <w:p>
      <w:pPr>
        <w:jc w:val="both"/>
        <w:rPr>
          <w:rFonts w:ascii="Bookman Old Style" w:hAnsi="Bookman Old Style" w:cstheme="minorHAnsi"/>
          <w:iCs/>
          <w:sz w:val="21"/>
          <w:szCs w:val="21"/>
        </w:rPr>
      </w:pPr>
    </w:p>
    <w:p>
      <w:pPr>
        <w:jc w:val="both"/>
        <w:rPr>
          <w:rFonts w:ascii="Bookman Old Style" w:hAnsi="Bookman Old Style" w:cstheme="minorHAnsi"/>
          <w:iCs/>
          <w:sz w:val="21"/>
          <w:szCs w:val="21"/>
        </w:rPr>
      </w:pPr>
      <w:r>
        <w:rPr>
          <w:rFonts w:ascii="Bookman Old Style" w:hAnsi="Bookman Old Style" w:cstheme="minorHAnsi"/>
          <w:b/>
          <w:bCs/>
          <w:iCs/>
          <w:sz w:val="21"/>
          <w:szCs w:val="21"/>
        </w:rPr>
        <w:t>4.Apelação Cível nº 9121141-62.2002.8.26.0000,</w:t>
      </w:r>
      <w:r>
        <w:rPr>
          <w:rFonts w:ascii="Bookman Old Style" w:hAnsi="Bookman Old Style" w:cstheme="minorHAnsi"/>
          <w:iCs/>
          <w:sz w:val="21"/>
          <w:szCs w:val="21"/>
        </w:rPr>
        <w:t xml:space="preserve"> do Tribunal de Justiça de São Paulo, que manteve a sentença de improcedência em caso de pretensão de percepção cumulativa de adicionais com idêntico fundamento.</w:t>
      </w:r>
    </w:p>
    <w:p>
      <w:pPr>
        <w:jc w:val="both"/>
        <w:rPr>
          <w:rFonts w:ascii="Bookman Old Style" w:hAnsi="Bookman Old Style" w:cstheme="minorHAnsi"/>
          <w:b/>
          <w:bCs/>
          <w:iCs/>
          <w:sz w:val="21"/>
          <w:szCs w:val="21"/>
        </w:rPr>
      </w:pPr>
    </w:p>
    <w:p>
      <w:pPr>
        <w:jc w:val="both"/>
        <w:rPr>
          <w:rFonts w:ascii="Bookman Old Style" w:hAnsi="Bookman Old Style" w:cstheme="minorHAnsi"/>
          <w:iCs/>
          <w:sz w:val="21"/>
          <w:szCs w:val="21"/>
        </w:rPr>
      </w:pPr>
      <w:r>
        <w:rPr>
          <w:rFonts w:ascii="Bookman Old Style" w:hAnsi="Bookman Old Style" w:cstheme="minorHAnsi"/>
          <w:b/>
          <w:bCs/>
          <w:iCs/>
          <w:sz w:val="21"/>
          <w:szCs w:val="21"/>
        </w:rPr>
        <w:t>5. Certidão de Não Impacto Orçamentário,</w:t>
      </w:r>
      <w:r>
        <w:rPr>
          <w:rFonts w:ascii="Bookman Old Style" w:hAnsi="Bookman Old Style" w:cstheme="minorHAnsi"/>
          <w:iCs/>
          <w:sz w:val="21"/>
          <w:szCs w:val="21"/>
        </w:rPr>
        <w:t xml:space="preserve"> emitida pela Secretaria de Administração, que atesta a viabilidade financeira da proposta.</w:t>
      </w:r>
    </w:p>
    <w:p>
      <w:pPr>
        <w:jc w:val="both"/>
        <w:rPr>
          <w:rFonts w:ascii="Bookman Old Style" w:hAnsi="Bookman Old Style" w:cstheme="minorHAnsi"/>
          <w:iCs/>
          <w:sz w:val="21"/>
          <w:szCs w:val="21"/>
        </w:rPr>
      </w:pPr>
    </w:p>
    <w:p>
      <w:pPr>
        <w:jc w:val="both"/>
        <w:rPr>
          <w:rFonts w:ascii="Bookman Old Style" w:hAnsi="Bookman Old Style" w:cstheme="minorHAnsi"/>
          <w:iCs/>
          <w:sz w:val="21"/>
          <w:szCs w:val="21"/>
        </w:rPr>
      </w:pPr>
    </w:p>
    <w:p>
      <w:pPr>
        <w:jc w:val="both"/>
        <w:rPr>
          <w:rFonts w:ascii="Bookman Old Style" w:hAnsi="Bookman Old Style" w:cstheme="minorHAnsi"/>
          <w:iCs/>
          <w:sz w:val="21"/>
          <w:szCs w:val="21"/>
        </w:rPr>
      </w:pPr>
    </w:p>
    <w:p>
      <w:pPr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PARECER DA COMISSÃO DE JUSTIÇA E REDAÇÃO E DA 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</w:rPr>
        <w:t xml:space="preserve">COMISSÃO DE FINANÇAS E ORÇAMENTO </w:t>
      </w:r>
      <w:r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>REFERENTE AO PROJETO DE LEI COMPLEMENTAR Nº 02 de 2025 DE AUTORIA DO PREFEITO MUNICIPAL PAULO DE OLIVEIRA E SILVA.</w:t>
      </w:r>
    </w:p>
    <w:p>
      <w:pPr>
        <w:pStyle w:val="BodyText"/>
        <w:spacing w:line="240" w:lineRule="auto"/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</w:pP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iCs/>
          <w:color w:val="000000"/>
          <w:sz w:val="24"/>
          <w:szCs w:val="24"/>
        </w:rPr>
        <w:tab/>
        <w:t>Em estrita consonância com o voto proferido pelo eminente Relator e  em comprimento aos artigos 35 e 37 do Regimento Interno Vigente, todos os membros da comissão de Justiça e Redação e Comissão de Finanças e Orçamento foram favoráveis ao presente parecer no Projeto de Lei Complementar em análise.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iCs/>
          <w:color w:val="000000"/>
          <w:sz w:val="24"/>
          <w:szCs w:val="24"/>
        </w:rPr>
        <w:tab/>
        <w:t>A tramitação deste projeto se apresenta como um passo significativo em direção ao progresso e ao desenvolvimento ordenado de nossa estimada cidade, demonstrando que os Poderes Legislativo e Executivo estão alinhados em prol do bem-estar e da qualidade de vida de nossos munícipes.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theme="minorHAnsi"/>
          <w:iCs/>
          <w:color w:val="000000"/>
          <w:sz w:val="24"/>
          <w:szCs w:val="24"/>
        </w:rPr>
        <w:tab/>
        <w:t xml:space="preserve">Portanto, estas Comissões manifestam Parecer </w:t>
      </w:r>
      <w:r>
        <w:rPr>
          <w:rFonts w:ascii="Bookman Old Style" w:hAnsi="Bookman Old Style" w:cstheme="minorHAnsi"/>
          <w:b/>
          <w:bCs/>
          <w:iCs/>
          <w:color w:val="000000"/>
          <w:sz w:val="24"/>
          <w:szCs w:val="24"/>
        </w:rPr>
        <w:t>FAVORÁVEL</w:t>
      </w:r>
      <w:r>
        <w:rPr>
          <w:rFonts w:ascii="Bookman Old Style" w:hAnsi="Bookman Old Style" w:cstheme="minorHAnsi"/>
          <w:iCs/>
          <w:color w:val="000000"/>
          <w:sz w:val="24"/>
          <w:szCs w:val="24"/>
        </w:rPr>
        <w:t xml:space="preserve"> ao presente Projeto de Lei Complementar.</w:t>
      </w:r>
    </w:p>
    <w:p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>Sala das Comissões, 27 de fevereiro de 2025</w:t>
      </w:r>
    </w:p>
    <w:p>
      <w:pPr>
        <w:jc w:val="center"/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</w:pPr>
    </w:p>
    <w:p>
      <w:pPr>
        <w:jc w:val="center"/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</w:pPr>
    </w:p>
    <w:p>
      <w:pPr>
        <w:jc w:val="center"/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</w:pPr>
      <w:r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  <w:t>COMISSÃO DE JUSTIÇA E REDAÇÃO</w:t>
      </w: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>Vereador Wagner Ricardo Pereira</w:t>
        <w:br/>
      </w:r>
      <w:r>
        <w:rPr>
          <w:rFonts w:ascii="Bookman Old Style" w:hAnsi="Bookman Old Style" w:cstheme="minorHAnsi"/>
          <w:b w:val="0"/>
          <w:bCs w:val="0"/>
          <w:iCs/>
          <w:sz w:val="24"/>
          <w:szCs w:val="24"/>
        </w:rPr>
        <w:t>Presidente</w:t>
      </w: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>Vereador Manoel Eduardo Pereira Da Cruz Palomino</w:t>
        <w:br/>
      </w:r>
      <w:r>
        <w:rPr>
          <w:rFonts w:ascii="Bookman Old Style" w:hAnsi="Bookman Old Style" w:cstheme="minorHAnsi"/>
          <w:b w:val="0"/>
          <w:bCs w:val="0"/>
          <w:iCs/>
          <w:sz w:val="24"/>
          <w:szCs w:val="24"/>
        </w:rPr>
        <w:t>Vice-presidente</w:t>
      </w: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br/>
        <w:t>Vereador João Victor Gasparini</w:t>
        <w:br/>
      </w:r>
      <w:r>
        <w:rPr>
          <w:rFonts w:ascii="Bookman Old Style" w:hAnsi="Bookman Old Style" w:cstheme="minorHAnsi"/>
          <w:b w:val="0"/>
          <w:bCs w:val="0"/>
          <w:iCs/>
          <w:sz w:val="24"/>
          <w:szCs w:val="24"/>
        </w:rPr>
        <w:t>Membro</w:t>
      </w: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b/>
          <w:bCs/>
          <w:u w:val="single"/>
        </w:rPr>
      </w:pPr>
      <w:r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  <w:t>COMISSÃO DE FINANÇAS E ORÇAMENTO</w:t>
      </w: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 xml:space="preserve">Vereadora Mara Cristina Choquetta </w:t>
      </w: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>Presidente</w:t>
      </w:r>
    </w:p>
    <w:p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 </w:t>
      </w:r>
      <w:r>
        <w:rPr>
          <w:rFonts w:ascii="Bookman Old Style" w:hAnsi="Bookman Old Style" w:cstheme="minorHAnsi"/>
          <w:b/>
          <w:iCs/>
          <w:sz w:val="24"/>
          <w:szCs w:val="24"/>
        </w:rPr>
        <w:t>Vereador Marcio Dener Coran</w:t>
      </w: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Vice-presidente </w:t>
      </w:r>
    </w:p>
    <w:p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>Vereador Marcos Paulo Cegatti</w:t>
      </w: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Membro </w:t>
      </w: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tabs>
        <w:tab w:val="clear" w:pos="4419"/>
        <w:tab w:val="right" w:pos="7513"/>
        <w:tab w:val="clear" w:pos="8838"/>
      </w:tabs>
      <w:jc w:val="left"/>
      <w:rPr>
        <w:rFonts w:ascii="Bookman Old Style" w:hAnsi="Bookman Old Style"/>
        <w:b/>
        <w:sz w:val="36"/>
        <w:szCs w:val="36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080955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1pt;height:11.5pt;margin-top:0.05pt;margin-left:457.1pt;mso-position-horizontal:right;mso-position-horizontal-relative:margin;mso-wrap-style:none;position:absolute;v-text-anchor:middle;z-index:251659264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24"/>
        <w:szCs w:val="36"/>
      </w:rPr>
      <w:t xml:space="preserve">               </w:t>
    </w:r>
    <w:r>
      <w:rPr>
        <w:rFonts w:ascii="Bookman Old Style" w:hAnsi="Bookman Old Style"/>
        <w:b/>
        <w:sz w:val="24"/>
        <w:szCs w:val="36"/>
      </w:rPr>
      <w:t>Estado de São Paulo</w:t>
    </w:r>
    <w:r>
      <w:rPr>
        <w:rFonts w:ascii="Bookman Old Style" w:hAnsi="Bookman Old Style"/>
        <w:b/>
        <w:sz w:val="36"/>
        <w:szCs w:val="36"/>
      </w:rPr>
      <w:t xml:space="preserve">        </w:t>
    </w:r>
    <w:r>
      <w:rPr>
        <w:rFonts w:ascii="Bookman Old Style" w:hAnsi="Bookman Old Style"/>
        <w:b/>
        <w:sz w:val="40"/>
        <w:szCs w:val="40"/>
      </w:rPr>
      <w:t xml:space="preserve"> 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>
      <w:rPr>
        <w:rFonts w:ascii="Bookman Old Style" w:hAnsi="Bookman Old Style"/>
        <w:b/>
        <w:sz w:val="40"/>
        <w:szCs w:val="40"/>
      </w:rPr>
      <w:t xml:space="preserve">         </w:t>
    </w:r>
    <w:r>
      <w:rPr>
        <w:rFonts w:ascii="Bookman Old Style" w:hAnsi="Bookman Old Style"/>
        <w:b/>
        <w:sz w:val="40"/>
        <w:szCs w:val="40"/>
      </w:rPr>
      <w:t>CÂMARA MUNICIPAL DE MOGI MIRIM</w:t>
    </w:r>
  </w:p>
  <w:p>
    <w:pPr>
      <w:pStyle w:val="Cabealho1"/>
      <w:tabs>
        <w:tab w:val="clear" w:pos="4419"/>
        <w:tab w:val="right" w:pos="7513"/>
        <w:tab w:val="clear" w:pos="8838"/>
      </w:tabs>
      <w:jc w:val="right"/>
    </w:pPr>
    <w:r>
      <w:rPr>
        <w:rFonts w:ascii="Bookman Old Style" w:hAnsi="Bookman Old Style"/>
        <w:b/>
        <w:sz w:val="24"/>
      </w:rPr>
      <w:t>Sala das Comissões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4">
    <w:name w:val="Heading 4"/>
    <w:basedOn w:val="Ttulo"/>
    <w:next w:val="BodyText"/>
    <w:qFormat/>
    <w:pPr>
      <w:spacing w:before="120" w:after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CabealhoChar">
    <w:name w:val="Cabeçalho Char"/>
    <w:basedOn w:val="DefaultParagraphFont"/>
    <w:uiPriority w:val="99"/>
    <w:qFormat/>
    <w:rsid w:val="008649A4"/>
  </w:style>
  <w:style w:type="character" w:customStyle="1" w:styleId="RodapChar">
    <w:name w:val="Rodapé Char"/>
    <w:basedOn w:val="DefaultParagraphFont"/>
    <w:uiPriority w:val="99"/>
    <w:qFormat/>
    <w:rsid w:val="008649A4"/>
  </w:style>
  <w:style w:type="character" w:customStyle="1" w:styleId="CorpodetextoChar">
    <w:name w:val="Corpo de texto Char"/>
    <w:basedOn w:val="DefaultParagraphFont"/>
    <w:qFormat/>
    <w:rsid w:val="00FD6348"/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lear" w:pos="708"/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  <w:suppressAutoHyphens/>
      <w:bidi w:val="0"/>
      <w:spacing w:before="0" w:after="0"/>
      <w:jc w:val="left"/>
    </w:pPr>
    <w:rPr>
      <w:rFonts w:ascii="Bookman Old Style" w:eastAsia="Times New Roman" w:hAnsi="Bookman Old Style" w:cs="Times New Roman"/>
      <w:color w:val="000000"/>
      <w:kern w:val="0"/>
      <w:sz w:val="24"/>
      <w:szCs w:val="20"/>
      <w:lang w:val="pt-BR" w:eastAsia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customStyle="1" w:styleId="Header">
    <w:name w:val="Header"/>
    <w:basedOn w:val="Normal"/>
    <w:link w:val="CabealhoChar"/>
    <w:uiPriority w:val="99"/>
    <w:unhideWhenUsed/>
    <w:rsid w:val="008649A4"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8649A4"/>
    <w:pPr>
      <w:tabs>
        <w:tab w:val="clear" w:pos="708"/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1067</Words>
  <Characters>6090</Characters>
  <Application>Microsoft Office Word</Application>
  <DocSecurity>0</DocSecurity>
  <Lines>0</Lines>
  <Paragraphs>55</Paragraphs>
  <ScaleCrop>false</ScaleCrop>
  <Company>Camara Municipal</Company>
  <LinksUpToDate>false</LinksUpToDate>
  <CharactersWithSpaces>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revision>6</cp:revision>
  <cp:lastPrinted>2023-03-23T11:27:00Z</cp:lastPrinted>
  <dcterms:created xsi:type="dcterms:W3CDTF">2025-02-18T13:49:00Z</dcterms:created>
  <dcterms:modified xsi:type="dcterms:W3CDTF">2025-02-27T16:23:44Z</dcterms:modified>
  <dc:language>pt-BR</dc:language>
</cp:coreProperties>
</file>