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81335D" w:rsidP="003D6D21" w14:paraId="4DE9CBF8" w14:textId="45CD1488">
      <w:pPr>
        <w:pStyle w:val="NormalWeb"/>
        <w:spacing w:line="360" w:lineRule="auto"/>
        <w:rPr>
          <w:b/>
          <w:bCs/>
          <w:color w:val="404040"/>
        </w:rPr>
      </w:pPr>
      <w:r w:rsidRPr="003D6D21">
        <w:tab/>
      </w:r>
      <w:r w:rsidR="00497A43">
        <w:rPr>
          <w:rStyle w:val="Strong"/>
          <w:color w:val="404040"/>
        </w:rPr>
        <w:t>PROJETO DE LEI Nº 11</w:t>
      </w:r>
      <w:r w:rsidRPr="003D6D21">
        <w:rPr>
          <w:rStyle w:val="Strong"/>
          <w:color w:val="404040"/>
        </w:rPr>
        <w:t xml:space="preserve"> DE 2025</w:t>
      </w:r>
      <w:r w:rsidR="00497A43">
        <w:rPr>
          <w:rStyle w:val="Strong"/>
          <w:color w:val="404040"/>
        </w:rPr>
        <w:t xml:space="preserve"> – Poder Executivo</w:t>
      </w:r>
      <w:r w:rsidRPr="003D6D21">
        <w:rPr>
          <w:color w:val="404040"/>
        </w:rPr>
        <w:br/>
      </w:r>
      <w:r w:rsidR="00497A43">
        <w:rPr>
          <w:rStyle w:val="Emphasis"/>
          <w:color w:val="404040"/>
        </w:rPr>
        <w:t>Institui, no âmbito da administração direta e da indireta do Município de Mogi Mirim, o Plano de Demissão Voluntária (PDV), e dá outras providências.</w:t>
      </w:r>
    </w:p>
    <w:p w:rsidR="00F74441" w:rsidRPr="003D6D21" w:rsidP="003D6D21" w14:paraId="1D42C3C2" w14:textId="7951DBAA">
      <w:pPr>
        <w:pStyle w:val="NormalWeb"/>
        <w:spacing w:line="360" w:lineRule="auto"/>
        <w:rPr>
          <w:color w:val="404040"/>
        </w:rPr>
      </w:pPr>
      <w:r>
        <w:rPr>
          <w:rStyle w:val="Strong"/>
          <w:color w:val="404040"/>
        </w:rPr>
        <w:t>RELATOR: VEREADOR WAGNER RICARDO PEREIRA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5D21C6" w:rsidP="003D6D21" w14:paraId="2435736D" w14:textId="0DAEED68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="00497A43">
        <w:rPr>
          <w:color w:val="404040"/>
        </w:rPr>
        <w:t>O Projeto de Lei nº 11</w:t>
      </w:r>
      <w:r w:rsidR="007C6029">
        <w:rPr>
          <w:color w:val="404040"/>
        </w:rPr>
        <w:t xml:space="preserve"> de 2025, de autoria do </w:t>
      </w:r>
      <w:r w:rsidR="00497A43">
        <w:rPr>
          <w:color w:val="404040"/>
        </w:rPr>
        <w:t>Prefeito Municipal Paulo de Oliveira e Silva</w:t>
      </w:r>
      <w:r>
        <w:rPr>
          <w:color w:val="404040"/>
        </w:rPr>
        <w:t xml:space="preserve">, tem por objetivo </w:t>
      </w:r>
      <w:r w:rsidRPr="00E17B64" w:rsidR="00497A43">
        <w:rPr>
          <w:rStyle w:val="Strong"/>
          <w:i/>
          <w:color w:val="404040"/>
        </w:rPr>
        <w:t xml:space="preserve">instituir </w:t>
      </w:r>
      <w:r w:rsidRPr="00497A43" w:rsidR="00497A43">
        <w:rPr>
          <w:rStyle w:val="Emphasis"/>
          <w:b/>
          <w:color w:val="404040"/>
        </w:rPr>
        <w:t>no âmbito da administração direta e da indireta do Município de Mogi Mirim, o Pla</w:t>
      </w:r>
      <w:r w:rsidR="00497A43">
        <w:rPr>
          <w:rStyle w:val="Emphasis"/>
          <w:b/>
          <w:color w:val="404040"/>
        </w:rPr>
        <w:t>no de Demissão Voluntária (PDV).</w:t>
      </w:r>
    </w:p>
    <w:p w:rsidR="003B1A59" w:rsidP="005B27A9" w14:paraId="3500C619" w14:textId="09D3ED7F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Com o Projeto de Lei n° 11/2025 o Poder Executivo busca implementar o Plano de Demissão Voluntária (PDV) aos servidores públicos da Prefeitura de Mogi Mirim e SAAE.</w:t>
      </w:r>
    </w:p>
    <w:p w:rsidR="00E17B64" w:rsidP="005B27A9" w14:paraId="1CE49FD2" w14:textId="39AE168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PDV é um programa que oferece incentivos financeiros e benefícios sociais a empregados públicos que optem por se desligar voluntariamente do quadro</w:t>
      </w:r>
      <w:r w:rsidR="00093424">
        <w:rPr>
          <w:color w:val="404040"/>
        </w:rPr>
        <w:t xml:space="preserve"> de servidores públicos</w:t>
      </w:r>
      <w:r w:rsidR="00F54B63">
        <w:rPr>
          <w:color w:val="404040"/>
        </w:rPr>
        <w:t>.</w:t>
      </w:r>
    </w:p>
    <w:p w:rsidR="00E17B64" w:rsidP="005B27A9" w14:paraId="5AA9FA2E" w14:textId="363181B0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Em reunião da</w:t>
      </w:r>
      <w:r w:rsidR="000950D7">
        <w:rPr>
          <w:color w:val="404040"/>
        </w:rPr>
        <w:t>s</w:t>
      </w:r>
      <w:r>
        <w:rPr>
          <w:color w:val="404040"/>
        </w:rPr>
        <w:t xml:space="preserve"> Comissões juntamente com as secretarias envolvidas realizada no dia 19 de fevereiro de 2025 às 9h no Plenário da Câmara Municipal, </w:t>
      </w:r>
      <w:r w:rsidR="000950D7">
        <w:rPr>
          <w:color w:val="404040"/>
        </w:rPr>
        <w:t>discutiu-se o projeto e suas implicações.</w:t>
      </w:r>
    </w:p>
    <w:p w:rsidR="00093424" w:rsidP="005B27A9" w14:paraId="4DCC57BB" w14:textId="20194EF0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O Secretário de Administração, Sr. Antônio </w:t>
      </w:r>
      <w:r w:rsidR="006575C7">
        <w:rPr>
          <w:color w:val="404040"/>
        </w:rPr>
        <w:t xml:space="preserve">Cláudio </w:t>
      </w:r>
      <w:r>
        <w:rPr>
          <w:color w:val="404040"/>
        </w:rPr>
        <w:t>Salgado destacou que a implementação do PDV é um anseio dos servidores a tempos. Todavia, não há uma estimativa de quantos servidores já manifestaram interesse.</w:t>
      </w:r>
    </w:p>
    <w:p w:rsidR="00093424" w:rsidP="005B27A9" w14:paraId="3A07E69F" w14:textId="19D484A3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Sr. Davi</w:t>
      </w:r>
      <w:r w:rsidR="00D17E31">
        <w:rPr>
          <w:color w:val="404040"/>
        </w:rPr>
        <w:t>d</w:t>
      </w:r>
      <w:r>
        <w:rPr>
          <w:color w:val="404040"/>
        </w:rPr>
        <w:t xml:space="preserve"> Barone, presidente do sindicato dos servidores públicos relatou que atualmente a Prefeitura conta com aproximadamente 2.500 funcionários públicos, ao passo que o SAAE conta com aproximadamente 180 funcionário públicos. Também salientou que aproximadamente 72 professores da rede municipal de ensino possuem dois cargos</w:t>
      </w:r>
      <w:r w:rsidR="00F54B63">
        <w:rPr>
          <w:color w:val="404040"/>
        </w:rPr>
        <w:t xml:space="preserve"> públicos</w:t>
      </w:r>
      <w:r>
        <w:rPr>
          <w:color w:val="404040"/>
        </w:rPr>
        <w:t>.</w:t>
      </w:r>
    </w:p>
    <w:p w:rsidR="00A71DDA" w:rsidP="00093424" w14:paraId="7246E9B2" w14:textId="107A4753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Conforme dispõe o artigo 3º</w:t>
      </w:r>
      <w:r w:rsidR="000950D7">
        <w:rPr>
          <w:color w:val="404040"/>
        </w:rPr>
        <w:t xml:space="preserve"> o pedido de adesão ao PDV possui natureza irrevogável e classificação junto ao Termo de Rescisão de Contrato de Trabalho, como pedido de demissão. Contudo, como </w:t>
      </w:r>
      <w:r>
        <w:rPr>
          <w:color w:val="404040"/>
        </w:rPr>
        <w:t>salientado pela Secretária de Negócios Jurídicos, Sra. Adriana Penha, a análise dos pedidos não contará</w:t>
      </w:r>
      <w:r w:rsidR="000950D7">
        <w:rPr>
          <w:color w:val="404040"/>
        </w:rPr>
        <w:t xml:space="preserve"> com a presença do sindicato da categoria, </w:t>
      </w:r>
      <w:r>
        <w:rPr>
          <w:color w:val="404040"/>
        </w:rPr>
        <w:t xml:space="preserve">logo, </w:t>
      </w:r>
      <w:r w:rsidR="000950D7">
        <w:rPr>
          <w:color w:val="404040"/>
        </w:rPr>
        <w:t>não haverá quitaçã</w:t>
      </w:r>
      <w:r w:rsidR="00291486">
        <w:rPr>
          <w:color w:val="404040"/>
        </w:rPr>
        <w:t>o geral do contrato de trabalho.</w:t>
      </w:r>
    </w:p>
    <w:p w:rsidR="00A71DDA" w:rsidP="005B27A9" w14:paraId="25804A9A" w14:textId="7067B745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o</w:t>
      </w:r>
      <w:r w:rsidR="00F54B63">
        <w:rPr>
          <w:color w:val="404040"/>
        </w:rPr>
        <w:t xml:space="preserve"> artigo 4° prevê quais servidores públicos </w:t>
      </w:r>
      <w:r>
        <w:rPr>
          <w:color w:val="404040"/>
        </w:rPr>
        <w:t>podem aderir ao PDV e, ao contrário</w:t>
      </w:r>
      <w:r w:rsidR="00F54B63">
        <w:rPr>
          <w:color w:val="404040"/>
        </w:rPr>
        <w:t>,</w:t>
      </w:r>
      <w:r>
        <w:rPr>
          <w:color w:val="404040"/>
        </w:rPr>
        <w:t xml:space="preserve"> o artigo 5° versa sobre os servidores públicos que não podem aderir ao PDV.</w:t>
      </w:r>
    </w:p>
    <w:p w:rsidR="00A71DDA" w:rsidP="005B27A9" w14:paraId="5DFB3392" w14:textId="33EE7E9A">
      <w:pPr>
        <w:pStyle w:val="NormalWeb"/>
        <w:spacing w:line="360" w:lineRule="auto"/>
        <w:ind w:firstLine="720"/>
        <w:jc w:val="both"/>
        <w:rPr>
          <w:color w:val="404040"/>
        </w:rPr>
      </w:pPr>
      <w:r w:rsidRPr="00A71DDA">
        <w:rPr>
          <w:color w:val="404040"/>
        </w:rPr>
        <w:t xml:space="preserve">O §1° do artigo 4º dispõe que </w:t>
      </w:r>
      <w:r w:rsidR="00657B9A">
        <w:rPr>
          <w:color w:val="404040"/>
        </w:rPr>
        <w:t>serão analisad</w:t>
      </w:r>
      <w:r w:rsidR="00F54B63">
        <w:rPr>
          <w:color w:val="404040"/>
        </w:rPr>
        <w:t>os em conjunto as adesões ao PDV</w:t>
      </w:r>
      <w:r w:rsidR="00657B9A">
        <w:rPr>
          <w:color w:val="404040"/>
        </w:rPr>
        <w:t xml:space="preserve"> de servidores que possuem mais de um vínculo empregatício, sendo estabelecido vínculo entre as indenizações auferidas. Na reunião ficou claro que no caso </w:t>
      </w:r>
      <w:r w:rsidR="00BD2CA7">
        <w:rPr>
          <w:color w:val="404040"/>
        </w:rPr>
        <w:t>de o</w:t>
      </w:r>
      <w:r w:rsidR="00657B9A">
        <w:rPr>
          <w:color w:val="404040"/>
        </w:rPr>
        <w:t xml:space="preserve"> servidor ocupar dois cargos públicos, o pedido irá englobar os dois cargos. Logo, não será cabível o pedido de demissão a apenas um cargo. </w:t>
      </w:r>
      <w:r w:rsidR="00093424">
        <w:rPr>
          <w:color w:val="404040"/>
        </w:rPr>
        <w:t>Para fins de indenização, será somado a remuneração dos dois cargos e irão receber relativo aos dois cargos.</w:t>
      </w:r>
      <w:r w:rsidR="00657B9A">
        <w:rPr>
          <w:color w:val="404040"/>
        </w:rPr>
        <w:t xml:space="preserve"> </w:t>
      </w:r>
    </w:p>
    <w:p w:rsidR="00093424" w:rsidP="005B27A9" w14:paraId="315A7318" w14:textId="439AA92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§3</w:t>
      </w:r>
      <w:r w:rsidRPr="00A71DDA">
        <w:rPr>
          <w:color w:val="404040"/>
        </w:rPr>
        <w:t>° do artigo 4</w:t>
      </w:r>
      <w:r>
        <w:rPr>
          <w:color w:val="404040"/>
        </w:rPr>
        <w:t>º prevê que as adesões ocorrerão por etapas conforme regulamentação por meio de Decreto. Conforme explicado, o Decreto Legislativo irá regulamentar as etapas para aderir ao PDV, seguindo critérios de prioridade como idade, tempo de serviço</w:t>
      </w:r>
      <w:r w:rsidR="00291486">
        <w:rPr>
          <w:color w:val="404040"/>
        </w:rPr>
        <w:t xml:space="preserve"> e disponibilidade orçamentária.</w:t>
      </w:r>
    </w:p>
    <w:p w:rsidR="00291486" w:rsidP="005B27A9" w14:paraId="2D7383F9" w14:textId="1DEC5039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na reunião restou garantido que a implementação do PDV será realizada de forma transparente e participativa, com a ampla divulgação do plano e garantia dos servidores. Será elaborado um plano de comunicação para informar os servidores sobre os benefícios e os procedimentos para adesão.</w:t>
      </w:r>
    </w:p>
    <w:p w:rsidR="00291486" w:rsidP="005B27A9" w14:paraId="0DCE5DC5" w14:textId="13092D5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artigo 6º prevê que o pedido de adesão ao PDV será indeferido, de forma justificada, nos casos em que o servidor demissionário exerce</w:t>
      </w:r>
      <w:r w:rsidR="00F54B63">
        <w:rPr>
          <w:color w:val="404040"/>
        </w:rPr>
        <w:t>r</w:t>
      </w:r>
      <w:r>
        <w:rPr>
          <w:color w:val="404040"/>
        </w:rPr>
        <w:t xml:space="preserve"> função ou cargo de caráter estratégico, emergencial ou de urgência ao Município com o fim de não descaracterizar a continuidade dos </w:t>
      </w:r>
      <w:r>
        <w:rPr>
          <w:color w:val="404040"/>
        </w:rPr>
        <w:t>serv</w:t>
      </w:r>
      <w:r w:rsidR="00E457DF">
        <w:rPr>
          <w:color w:val="404040"/>
        </w:rPr>
        <w:t>iços e/ou atividades essenciais. Ainda, os pedidos que estiverem em desacordo com o disposto na lei também serão indeferidos.</w:t>
      </w:r>
    </w:p>
    <w:p w:rsidR="000F1F6F" w:rsidP="005B27A9" w14:paraId="2B258E1F" w14:textId="4C9AF76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artigo 7º estabelece que o servidor permanece em efetivo exercício até a data da efetiva rescisão contratual e o parágrafo único menciona que o desligamento do servidor do quadro de pessoal fica condicionad</w:t>
      </w:r>
      <w:r w:rsidR="007E2CFA">
        <w:rPr>
          <w:color w:val="404040"/>
        </w:rPr>
        <w:t>o a eventuais ressarcimentos por</w:t>
      </w:r>
      <w:r>
        <w:rPr>
          <w:color w:val="404040"/>
        </w:rPr>
        <w:t xml:space="preserve"> danos causados ao erário, bem como a quitação de débitos </w:t>
      </w:r>
      <w:r w:rsidR="007E2CFA">
        <w:rPr>
          <w:color w:val="404040"/>
        </w:rPr>
        <w:t xml:space="preserve">relacionados ao vínculo empregatício </w:t>
      </w:r>
      <w:r>
        <w:rPr>
          <w:color w:val="404040"/>
        </w:rPr>
        <w:t>porventura existentes. Assim, por exemplo, se o servidor tiver sido multado no exercício de sua fun</w:t>
      </w:r>
      <w:r w:rsidR="007E2CFA">
        <w:rPr>
          <w:color w:val="404040"/>
        </w:rPr>
        <w:t>ção, utilizando do carro da Prefeitura</w:t>
      </w:r>
      <w:r>
        <w:rPr>
          <w:color w:val="404040"/>
        </w:rPr>
        <w:t>, o valor correspondente da multa será descontado.</w:t>
      </w:r>
    </w:p>
    <w:p w:rsidR="000F1F6F" w:rsidP="005B27A9" w14:paraId="2C51EC21" w14:textId="2043F176">
      <w:pPr>
        <w:pStyle w:val="NormalWeb"/>
        <w:spacing w:line="360" w:lineRule="auto"/>
        <w:ind w:firstLine="720"/>
        <w:jc w:val="both"/>
        <w:rPr>
          <w:color w:val="404040"/>
        </w:rPr>
      </w:pPr>
      <w:r w:rsidRPr="000F1F6F">
        <w:rPr>
          <w:color w:val="404040"/>
        </w:rPr>
        <w:t>O artigo 8</w:t>
      </w:r>
      <w:r>
        <w:rPr>
          <w:color w:val="404040"/>
        </w:rPr>
        <w:t>º</w:t>
      </w:r>
      <w:r w:rsidRPr="000F1F6F">
        <w:rPr>
          <w:color w:val="404040"/>
        </w:rPr>
        <w:t>, 9º e 12 estabelecem alguns incentivos financeiros</w:t>
      </w:r>
      <w:r w:rsidR="00BD2CA7">
        <w:rPr>
          <w:color w:val="404040"/>
        </w:rPr>
        <w:t>. O artigo 8º prevê</w:t>
      </w:r>
      <w:r>
        <w:rPr>
          <w:color w:val="404040"/>
        </w:rPr>
        <w:t xml:space="preserve"> a concessão, a título de indenização de 01 (um) vencimento mensal por ano de efetivo exercício, não excedendo o limite máximo de 10 (dez) vencimentos mensais. O artigo 9º estabelece a concessão de vale refeição e cestas básicas até dezembro do exercício em que ocorrerá o desligamento. Por fim, o artigo 12 menciona que também serão pagos, os dias pro</w:t>
      </w:r>
      <w:r w:rsidR="00FD367D">
        <w:rPr>
          <w:color w:val="404040"/>
        </w:rPr>
        <w:t>porcionais, as férias vencidas e proporcionais, além da gratificação natalina proporcional a que o servidor tiver direito.</w:t>
      </w:r>
    </w:p>
    <w:p w:rsidR="00FD367D" w:rsidRPr="000F1F6F" w:rsidP="005B27A9" w14:paraId="6F216969" w14:textId="25492AC6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Por sua vez, o artigo 10 dispõe sobre o cálculo do incentivo financeiro </w:t>
      </w:r>
      <w:r w:rsidR="007E2CFA">
        <w:rPr>
          <w:color w:val="404040"/>
        </w:rPr>
        <w:t>e o que será considerado para fins de vencimento mensal, excetuando diárias; salário-família; adicional de insalubridade, entre outros.</w:t>
      </w:r>
    </w:p>
    <w:p w:rsidR="0055728D" w:rsidP="0055728D" w14:paraId="51DD3134" w14:textId="7E9FB74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a</w:t>
      </w:r>
      <w:r w:rsidR="00CA4280">
        <w:rPr>
          <w:color w:val="404040"/>
        </w:rPr>
        <w:t>rtigo 11</w:t>
      </w:r>
      <w:r>
        <w:rPr>
          <w:color w:val="404040"/>
        </w:rPr>
        <w:t xml:space="preserve"> prevê como se dará o pagamento. O artigo 13 dispõe que como a adesão ao PDV se trata de demissão, não poderá ser levantado o valor relativo ao FGTS</w:t>
      </w:r>
      <w:r w:rsidR="00CA4280">
        <w:rPr>
          <w:color w:val="404040"/>
        </w:rPr>
        <w:t>.</w:t>
      </w:r>
    </w:p>
    <w:p w:rsidR="00CA4280" w:rsidP="0055728D" w14:paraId="168EC81D" w14:textId="6F3319A3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artigo 14 prevê que no caso de novo ingresso no serviço público, o tempo de serviço não pode ser reutilizado para o mesmo fim ou usufruto de qualquer benefício e o artigo 15 menciona que os servidores públicos que aderirem ao PDV não poderão ser nomeados ou admitidos para qualquer cargo ou emprego público municipal pelo prazo de 02 (dois) anos.</w:t>
      </w:r>
    </w:p>
    <w:p w:rsidR="00BD2CA7" w:rsidP="0055728D" w14:paraId="6992ECA5" w14:textId="5A2EF4B6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 sua vez, o artigo 16 dispõe que como a parcela financeira terá natureza indenizatória, não haverá incidência de contribuição previdenciária, imposto de renda ou FGTS.</w:t>
      </w:r>
    </w:p>
    <w:p w:rsidR="00CA4280" w:rsidP="0055728D" w14:paraId="17C4AD25" w14:textId="558B566C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O artigo 17 dispõe sobre as despesas decorrentes da Lei e o artigo 20 prevê a revogação das Leis Municipais n°4.005/2005 e 4.006/2005.</w:t>
      </w:r>
    </w:p>
    <w:p w:rsidR="00F74441" w:rsidRPr="003D6D2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CA4280" w:rsidP="003D6D21" w14:paraId="6112DB68" w14:textId="7B751AFD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 w:rsidR="003B1A59">
        <w:rPr>
          <w:color w:val="404040"/>
        </w:rPr>
        <w:t>O Proj</w:t>
      </w:r>
      <w:r>
        <w:rPr>
          <w:color w:val="404040"/>
        </w:rPr>
        <w:t>eto de Lei nº 11</w:t>
      </w:r>
      <w:r w:rsidRPr="003D6D21" w:rsidR="003B1A59">
        <w:rPr>
          <w:color w:val="404040"/>
        </w:rPr>
        <w:t xml:space="preserve"> de 2025 </w:t>
      </w:r>
      <w:r>
        <w:rPr>
          <w:color w:val="404040"/>
        </w:rPr>
        <w:t>de autoria do Prefeito Munici</w:t>
      </w:r>
      <w:r w:rsidR="00A030E7">
        <w:rPr>
          <w:color w:val="404040"/>
        </w:rPr>
        <w:t>pal Paulo de Oliveira e Silva</w:t>
      </w:r>
      <w:r>
        <w:rPr>
          <w:color w:val="404040"/>
        </w:rPr>
        <w:t xml:space="preserve"> </w:t>
      </w:r>
      <w:r w:rsidRPr="003D6D21" w:rsidR="003B1A59">
        <w:rPr>
          <w:color w:val="404040"/>
        </w:rPr>
        <w:t>está em conformidade com os princípios constitucionais e legai</w:t>
      </w:r>
      <w:r w:rsidR="005B27A9">
        <w:rPr>
          <w:color w:val="404040"/>
        </w:rPr>
        <w:t xml:space="preserve">s, não apresentando vícios de constitucionalidade ou </w:t>
      </w:r>
      <w:r w:rsidRPr="003D6D21" w:rsidR="003B1A59">
        <w:rPr>
          <w:color w:val="404040"/>
        </w:rPr>
        <w:t xml:space="preserve">legalidade. </w:t>
      </w:r>
    </w:p>
    <w:p w:rsidR="003B1A59" w:rsidP="000A1377" w14:paraId="688B016A" w14:textId="4B8EE2AD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A </w:t>
      </w:r>
      <w:r w:rsidR="00571662">
        <w:rPr>
          <w:color w:val="404040"/>
        </w:rPr>
        <w:t>edição de norma que dispõe sobre organização de pessoal e institui Plano de Demissão Voluntária,</w:t>
      </w:r>
      <w:r>
        <w:rPr>
          <w:color w:val="404040"/>
        </w:rPr>
        <w:t xml:space="preserve"> caracteriza-se como questão de int</w:t>
      </w:r>
      <w:r w:rsidR="00804434">
        <w:rPr>
          <w:color w:val="404040"/>
        </w:rPr>
        <w:t>eresse predominantemente local.</w:t>
      </w:r>
      <w:r w:rsidR="000A1377">
        <w:rPr>
          <w:color w:val="404040"/>
        </w:rPr>
        <w:t xml:space="preserve"> </w:t>
      </w:r>
      <w:r>
        <w:rPr>
          <w:color w:val="404040"/>
        </w:rPr>
        <w:t>Logo, a</w:t>
      </w:r>
      <w:r w:rsidRPr="003D6D21">
        <w:rPr>
          <w:color w:val="404040"/>
        </w:rPr>
        <w:t xml:space="preserve"> iniciativa legislativa encontra respaldo no </w:t>
      </w:r>
      <w:r w:rsidRPr="003D6D21">
        <w:rPr>
          <w:rStyle w:val="Strong"/>
          <w:color w:val="404040"/>
        </w:rPr>
        <w:t>artigo 30, inciso I, da Constituição Federal</w:t>
      </w:r>
      <w:r w:rsidRPr="003D6D21">
        <w:rPr>
          <w:color w:val="404040"/>
        </w:rPr>
        <w:t>, que atribui aos municípios a competência para legislar sob</w:t>
      </w:r>
      <w:r w:rsidR="00A479DE">
        <w:rPr>
          <w:color w:val="404040"/>
        </w:rPr>
        <w:t xml:space="preserve">re assuntos de interesse local e na legislação municipal nos </w:t>
      </w:r>
      <w:r w:rsidRPr="00177254" w:rsidR="00A479DE">
        <w:rPr>
          <w:b/>
          <w:color w:val="404040"/>
        </w:rPr>
        <w:t xml:space="preserve">incisos I e XI do artigo 12 da Lei Orgânica </w:t>
      </w:r>
      <w:r w:rsidR="000A1377">
        <w:rPr>
          <w:b/>
          <w:color w:val="404040"/>
        </w:rPr>
        <w:t>do Município de Mogi Mirim</w:t>
      </w:r>
      <w:r w:rsidR="00177254">
        <w:rPr>
          <w:b/>
          <w:color w:val="404040"/>
        </w:rPr>
        <w:t>.</w:t>
      </w:r>
    </w:p>
    <w:p w:rsidR="00064FC8" w:rsidP="006F48DD" w14:paraId="118EF41C" w14:textId="07196183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Quanto a deflagração do processo legislativo </w:t>
      </w:r>
      <w:r>
        <w:rPr>
          <w:color w:val="404040"/>
        </w:rPr>
        <w:t>a</w:t>
      </w:r>
      <w:r>
        <w:rPr>
          <w:color w:val="404040"/>
        </w:rPr>
        <w:t xml:space="preserve"> iniciativa </w:t>
      </w:r>
      <w:r>
        <w:rPr>
          <w:color w:val="404040"/>
        </w:rPr>
        <w:t xml:space="preserve">é </w:t>
      </w:r>
      <w:r w:rsidR="003F59C5">
        <w:rPr>
          <w:color w:val="404040"/>
        </w:rPr>
        <w:t>privativa do Chefe do Poder Executivo, o Prefeito do Município</w:t>
      </w:r>
      <w:r>
        <w:rPr>
          <w:color w:val="404040"/>
        </w:rPr>
        <w:t xml:space="preserve">, </w:t>
      </w:r>
      <w:r w:rsidR="003F59C5">
        <w:rPr>
          <w:color w:val="404040"/>
        </w:rPr>
        <w:t>pois trata-se de matéria que modifica regras do regime jurídico dos servidores e, inclusive</w:t>
      </w:r>
      <w:r w:rsidR="00362E04">
        <w:rPr>
          <w:color w:val="404040"/>
        </w:rPr>
        <w:t>,</w:t>
      </w:r>
      <w:r w:rsidR="003F59C5">
        <w:rPr>
          <w:color w:val="404040"/>
        </w:rPr>
        <w:t xml:space="preserve"> institui benefícios pecuniários aos servidores vinculados dir</w:t>
      </w:r>
      <w:r w:rsidR="00362E04">
        <w:rPr>
          <w:color w:val="404040"/>
        </w:rPr>
        <w:t>etamente ao poder Executivo que</w:t>
      </w:r>
      <w:r w:rsidR="003F59C5">
        <w:rPr>
          <w:color w:val="404040"/>
        </w:rPr>
        <w:t xml:space="preserve"> em prazo hábil fizerem adesão ao PDV</w:t>
      </w:r>
      <w:r w:rsidR="00655A35">
        <w:rPr>
          <w:color w:val="404040"/>
        </w:rPr>
        <w:t>.</w:t>
      </w:r>
    </w:p>
    <w:p w:rsidR="00655A35" w:rsidRPr="008E1495" w:rsidP="006F48DD" w14:paraId="5DEAC304" w14:textId="473B3BAD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Logo, a competência do M</w:t>
      </w:r>
      <w:r w:rsidR="000A1377">
        <w:rPr>
          <w:color w:val="404040"/>
        </w:rPr>
        <w:t>unicípio para organizar o serviço</w:t>
      </w:r>
      <w:r>
        <w:rPr>
          <w:color w:val="404040"/>
        </w:rPr>
        <w:t xml:space="preserve"> público e seu pessoal é consectário da autonomia administrativa de que dispõe. Atendidas as normas constitucionais aplicáveis ao servidor público</w:t>
      </w:r>
      <w:r w:rsidR="00173831">
        <w:rPr>
          <w:color w:val="404040"/>
        </w:rPr>
        <w:t xml:space="preserve"> (</w:t>
      </w:r>
      <w:r w:rsidR="00173831">
        <w:rPr>
          <w:color w:val="404040"/>
        </w:rPr>
        <w:t>arts</w:t>
      </w:r>
      <w:r w:rsidR="00173831">
        <w:rPr>
          <w:color w:val="404040"/>
        </w:rPr>
        <w:t>. 37 a 41, CF)</w:t>
      </w:r>
      <w:r>
        <w:rPr>
          <w:color w:val="404040"/>
        </w:rPr>
        <w:t>, bem como os preceitos das leis de caráter nacional e de sua lei orgânica, pode o Município elaborar o regime jurídico de seus servidores, segundo as conveniências locais. Vale ressaltar que somente o Município pode estabelecer o regime de trabalho e de pagamento de seus servidores, tendo em vista as peculiaridades locai</w:t>
      </w:r>
      <w:r w:rsidR="00021AB3">
        <w:rPr>
          <w:color w:val="404040"/>
        </w:rPr>
        <w:t>s e as possibilidades de seu</w:t>
      </w:r>
      <w:r w:rsidR="008E1495">
        <w:rPr>
          <w:color w:val="404040"/>
        </w:rPr>
        <w:t xml:space="preserve"> orçamento, de acordo com o </w:t>
      </w:r>
      <w:r w:rsidRPr="008E1495" w:rsidR="008E1495">
        <w:rPr>
          <w:b/>
          <w:color w:val="404040"/>
        </w:rPr>
        <w:t>artigo 30, incisos III e V</w:t>
      </w:r>
      <w:r w:rsidRPr="008E1495" w:rsidR="008E1495">
        <w:rPr>
          <w:color w:val="404040"/>
        </w:rPr>
        <w:t xml:space="preserve"> </w:t>
      </w:r>
      <w:r w:rsidRPr="008E1495" w:rsidR="008E1495">
        <w:rPr>
          <w:rStyle w:val="Strong"/>
          <w:color w:val="404040"/>
        </w:rPr>
        <w:t>da Constituição Federal</w:t>
      </w:r>
      <w:r w:rsidRPr="008E1495" w:rsidR="008E1495">
        <w:rPr>
          <w:color w:val="404040"/>
        </w:rPr>
        <w:t>.</w:t>
      </w:r>
    </w:p>
    <w:p w:rsidR="00021AB3" w:rsidP="006F48DD" w14:paraId="5066994F" w14:textId="752559E1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Ainda, o Supremo Tribunal federal já deliberou que “a competência do Município para organizar seu quadro de pessoal é consectária da autonomia administrativa de que </w:t>
      </w:r>
      <w:r w:rsidR="00996280">
        <w:rPr>
          <w:color w:val="404040"/>
        </w:rPr>
        <w:t>dispõe</w:t>
      </w:r>
      <w:r>
        <w:rPr>
          <w:color w:val="404040"/>
        </w:rPr>
        <w:t xml:space="preserve">. Atendidas as normas constitucionais aplicáveis ao servidor público, bem como aos preceitos das leis de caráter complementar, pode o Município elaborar o estatuto de seus servidores, </w:t>
      </w:r>
      <w:r>
        <w:rPr>
          <w:color w:val="404040"/>
        </w:rPr>
        <w:t>segundo as conveniências e peculiaridades locais. Nesse campo, é inadmissível a extensão das normas estatu</w:t>
      </w:r>
      <w:r w:rsidR="00996280">
        <w:rPr>
          <w:color w:val="404040"/>
        </w:rPr>
        <w:t>tárias federais ou estaduais aos</w:t>
      </w:r>
      <w:r>
        <w:rPr>
          <w:color w:val="404040"/>
        </w:rPr>
        <w:t xml:space="preserve"> servidores municipais no que tange ao regime de trabalho e de remuneração, e somente será possível a aplicação do estatuto da União ou do Estado-membro se a lei municipal a</w:t>
      </w:r>
      <w:r w:rsidR="00996280">
        <w:rPr>
          <w:color w:val="404040"/>
        </w:rPr>
        <w:t xml:space="preserve">ssim o determinar expressamente”. </w:t>
      </w:r>
      <w:r>
        <w:rPr>
          <w:color w:val="404040"/>
        </w:rPr>
        <w:t>(RE n°120133, 2ª Turma, Rel. Min Maurício Corrêa, j. em 27/09/1996.)</w:t>
      </w:r>
    </w:p>
    <w:p w:rsidR="006E3A0E" w:rsidP="006E3A0E" w14:paraId="45B40E33" w14:textId="48DDF5DC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Ainda, há previsão expressa de instituição de Plano de Demissão Voluntária ou Incentivada aplicável aos empregados públicos no artigo 477-B da Consolidação das Leis do Trabalho (CLT), </w:t>
      </w:r>
      <w:r w:rsidRPr="006E3A0E">
        <w:rPr>
          <w:i/>
          <w:color w:val="404040"/>
        </w:rPr>
        <w:t xml:space="preserve">in </w:t>
      </w:r>
      <w:r w:rsidRPr="006E3A0E">
        <w:rPr>
          <w:i/>
          <w:color w:val="404040"/>
        </w:rPr>
        <w:t>verbis</w:t>
      </w:r>
      <w:r>
        <w:rPr>
          <w:color w:val="404040"/>
        </w:rPr>
        <w:t>:</w:t>
      </w:r>
    </w:p>
    <w:p w:rsidR="006E3A0E" w:rsidRPr="000A1377" w:rsidP="000A1377" w14:paraId="4DA81ED7" w14:textId="15043AD8">
      <w:pPr>
        <w:pStyle w:val="NormalWeb"/>
        <w:spacing w:line="360" w:lineRule="auto"/>
        <w:ind w:left="2268"/>
        <w:jc w:val="both"/>
        <w:rPr>
          <w:i/>
          <w:color w:val="404040"/>
          <w:sz w:val="22"/>
          <w:szCs w:val="22"/>
        </w:rPr>
      </w:pPr>
      <w:r w:rsidRPr="000A1377">
        <w:rPr>
          <w:i/>
          <w:color w:val="000000"/>
          <w:sz w:val="22"/>
          <w:szCs w:val="22"/>
          <w:shd w:val="clear" w:color="auto" w:fill="FFFFFF"/>
        </w:rPr>
        <w:t xml:space="preserve">Art. 477-B.  Plano de Demissão Voluntária ou Incentivada, para dispensa individual, </w:t>
      </w:r>
      <w:r w:rsidRPr="000A1377">
        <w:rPr>
          <w:i/>
          <w:color w:val="000000"/>
          <w:sz w:val="22"/>
          <w:szCs w:val="22"/>
          <w:shd w:val="clear" w:color="auto" w:fill="FFFFFF"/>
        </w:rPr>
        <w:t>plúrima</w:t>
      </w:r>
      <w:r w:rsidRPr="000A1377">
        <w:rPr>
          <w:i/>
          <w:color w:val="000000"/>
          <w:sz w:val="22"/>
          <w:szCs w:val="22"/>
          <w:shd w:val="clear" w:color="auto" w:fill="FFFFFF"/>
        </w:rPr>
        <w:t xml:space="preserve"> ou coletiva, previsto em convenção coletiva ou acordo coletivo de trabalho, enseja quitação plena e irrevogável dos direitos decorrentes da relação empregatícia, salvo disposição em contrário estipulada entre as partes. </w:t>
      </w:r>
    </w:p>
    <w:p w:rsidR="006E3A0E" w:rsidP="00996280" w14:paraId="209B0264" w14:textId="52A92418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 Ademais, a proposta de lei em questão, guarda similaridade com a legislação federal e estadual. A Lei Federal n°9.468/1997 institui o “</w:t>
      </w:r>
      <w:r w:rsidRPr="006E3A0E">
        <w:rPr>
          <w:i/>
          <w:color w:val="404040"/>
        </w:rPr>
        <w:t>Programa de Desligamento Voluntário de servidores civis do Poder Executivo Federal</w:t>
      </w:r>
      <w:r>
        <w:rPr>
          <w:color w:val="404040"/>
        </w:rPr>
        <w:t>”. Por sua vez, a Lei Estadual n°17.293/2020 “</w:t>
      </w:r>
      <w:r w:rsidRPr="006E3A0E">
        <w:rPr>
          <w:i/>
          <w:color w:val="404040"/>
        </w:rPr>
        <w:t>estabelece medidas voltadas para o ajuste fiscal e ao equilíbrio das contas públicas e dá outras providências correlatas</w:t>
      </w:r>
      <w:r>
        <w:rPr>
          <w:color w:val="404040"/>
        </w:rPr>
        <w:t xml:space="preserve">”, mais especificadamente nos artigos 26 </w:t>
      </w:r>
      <w:r w:rsidR="00996280">
        <w:rPr>
          <w:color w:val="404040"/>
        </w:rPr>
        <w:t>a</w:t>
      </w:r>
      <w:r>
        <w:rPr>
          <w:color w:val="404040"/>
        </w:rPr>
        <w:t xml:space="preserve"> 34 dispõe sobre</w:t>
      </w:r>
      <w:r w:rsidR="00996280">
        <w:rPr>
          <w:color w:val="404040"/>
        </w:rPr>
        <w:t xml:space="preserve"> o Programa de Demissão Incentivada, ambas dispondo sobre os servidores estatutários.</w:t>
      </w:r>
    </w:p>
    <w:p w:rsidR="003B1A59" w:rsidRPr="003D6D21" w:rsidP="00FA65BC" w14:paraId="37C22377" w14:textId="3F42681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Dia</w:t>
      </w:r>
      <w:r w:rsidR="0059215B">
        <w:rPr>
          <w:color w:val="404040"/>
        </w:rPr>
        <w:t>nte do exposto e</w:t>
      </w:r>
      <w:r>
        <w:rPr>
          <w:color w:val="404040"/>
        </w:rPr>
        <w:t xml:space="preserve"> c</w:t>
      </w:r>
      <w:r w:rsidR="000A1377">
        <w:rPr>
          <w:color w:val="404040"/>
        </w:rPr>
        <w:t>om base nos fundamentos apresentados</w:t>
      </w:r>
      <w:r>
        <w:rPr>
          <w:color w:val="404040"/>
        </w:rPr>
        <w:t>, concl</w:t>
      </w:r>
      <w:r w:rsidR="00996280">
        <w:rPr>
          <w:color w:val="404040"/>
        </w:rPr>
        <w:t>ui-se que o Projeto de Lei n° 11</w:t>
      </w:r>
      <w:r>
        <w:rPr>
          <w:color w:val="404040"/>
        </w:rPr>
        <w:t xml:space="preserve">/2025 </w:t>
      </w:r>
      <w:r w:rsidR="00996280">
        <w:rPr>
          <w:color w:val="404040"/>
        </w:rPr>
        <w:t xml:space="preserve">de autoria do Poder Executivo </w:t>
      </w:r>
      <w:r>
        <w:rPr>
          <w:color w:val="404040"/>
        </w:rPr>
        <w:t>atende os requisitos formais e materiais, demonstrando sua</w:t>
      </w:r>
      <w:r w:rsidR="0059215B">
        <w:rPr>
          <w:color w:val="404040"/>
        </w:rPr>
        <w:t xml:space="preserve"> relevância social e legalidade</w:t>
      </w:r>
      <w:r w:rsidR="000A1377">
        <w:rPr>
          <w:color w:val="404040"/>
        </w:rPr>
        <w:t>, apto a</w:t>
      </w:r>
      <w:r w:rsidR="00996280">
        <w:rPr>
          <w:color w:val="404040"/>
        </w:rPr>
        <w:t xml:space="preserve"> regular tramitação</w:t>
      </w:r>
      <w:r w:rsidR="0059215B">
        <w:rPr>
          <w:color w:val="404040"/>
        </w:rPr>
        <w:t>.</w:t>
      </w:r>
    </w:p>
    <w:p w:rsidR="00F74441" w:rsidRPr="003D6D21" w:rsidP="003D6D21" w14:paraId="0F32780D" w14:textId="48768D2A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AB5A42" w:rsidRPr="00AB5A42" w:rsidP="006A762A" w14:paraId="19F8F4BA" w14:textId="2406ECDA">
      <w:pPr>
        <w:pStyle w:val="NormalWeb"/>
        <w:spacing w:line="360" w:lineRule="auto"/>
        <w:jc w:val="both"/>
        <w:rPr>
          <w:color w:val="404040"/>
        </w:rPr>
      </w:pPr>
      <w:r w:rsidRPr="007B6058">
        <w:rPr>
          <w:b/>
          <w:color w:val="404040"/>
        </w:rPr>
        <w:tab/>
      </w:r>
      <w:r w:rsidRPr="007B6058" w:rsidR="006A762A">
        <w:rPr>
          <w:color w:val="404040"/>
        </w:rPr>
        <w:t xml:space="preserve">A proposta </w:t>
      </w:r>
      <w:r w:rsidRPr="007B6058" w:rsidR="007B6058">
        <w:rPr>
          <w:color w:val="404040"/>
        </w:rPr>
        <w:t>busca</w:t>
      </w:r>
      <w:r w:rsidRPr="007B6058" w:rsidR="007B6058">
        <w:rPr>
          <w:b/>
          <w:color w:val="404040"/>
        </w:rPr>
        <w:t xml:space="preserve"> </w:t>
      </w:r>
      <w:r>
        <w:rPr>
          <w:rStyle w:val="Strong"/>
          <w:b w:val="0"/>
          <w:color w:val="404040"/>
        </w:rPr>
        <w:t xml:space="preserve">instituir no âmbito da administração direta e indireta do </w:t>
      </w:r>
      <w:r w:rsidRPr="007B6058" w:rsidR="007B6058">
        <w:rPr>
          <w:rStyle w:val="Strong"/>
          <w:b w:val="0"/>
          <w:color w:val="404040"/>
        </w:rPr>
        <w:t>Município de Mogi Mirim</w:t>
      </w:r>
      <w:r>
        <w:rPr>
          <w:b/>
          <w:color w:val="404040"/>
        </w:rPr>
        <w:t xml:space="preserve"> </w:t>
      </w:r>
      <w:r w:rsidRPr="00AB5A42">
        <w:rPr>
          <w:color w:val="404040"/>
        </w:rPr>
        <w:t>o Plano de Demissão Voluntária (PDV)</w:t>
      </w:r>
      <w:r>
        <w:rPr>
          <w:color w:val="404040"/>
        </w:rPr>
        <w:t>.</w:t>
      </w:r>
    </w:p>
    <w:p w:rsidR="006A762A" w:rsidP="006A762A" w14:paraId="533A9265" w14:textId="14C15D7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Conforme salientado na reunião de Comissões pelo Secretário de Administração, Sr. Antônio Cláudio Salgado, após realização de Pesquisa de Clima Organizacional, foi sugerido </w:t>
      </w:r>
      <w:r>
        <w:rPr>
          <w:color w:val="404040"/>
        </w:rPr>
        <w:t xml:space="preserve">pelos próprios servidores a possibilidade de </w:t>
      </w:r>
      <w:r w:rsidR="00D17E31">
        <w:rPr>
          <w:color w:val="404040"/>
        </w:rPr>
        <w:t>instituição do</w:t>
      </w:r>
      <w:r>
        <w:rPr>
          <w:color w:val="404040"/>
        </w:rPr>
        <w:t xml:space="preserve"> PDV. Logo, a </w:t>
      </w:r>
      <w:r w:rsidR="00D17E31">
        <w:rPr>
          <w:color w:val="404040"/>
        </w:rPr>
        <w:t>implantação</w:t>
      </w:r>
      <w:r>
        <w:rPr>
          <w:color w:val="404040"/>
        </w:rPr>
        <w:t xml:space="preserve"> de tal plano é um anseio dos servidores públicos. </w:t>
      </w:r>
    </w:p>
    <w:p w:rsidR="000E49AD" w:rsidP="003C6BCB" w14:paraId="14FDE0D8" w14:textId="592C76C0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O </w:t>
      </w:r>
      <w:r>
        <w:rPr>
          <w:color w:val="404040"/>
        </w:rPr>
        <w:t>diretor do sindicato dos servidores públicos, Davi</w:t>
      </w:r>
      <w:r w:rsidR="00D17E31">
        <w:rPr>
          <w:color w:val="404040"/>
        </w:rPr>
        <w:t>d</w:t>
      </w:r>
      <w:r>
        <w:rPr>
          <w:color w:val="404040"/>
        </w:rPr>
        <w:t xml:space="preserve"> Barone,</w:t>
      </w:r>
      <w:r>
        <w:rPr>
          <w:color w:val="404040"/>
        </w:rPr>
        <w:t xml:space="preserve"> também </w:t>
      </w:r>
      <w:r>
        <w:rPr>
          <w:color w:val="404040"/>
        </w:rPr>
        <w:t>esteve presente na reunião e apesar do sindicato não ter sido consultado anteriormente ao encaminhamento do Projeto à Câmara, disse que o sindicato não é contra o PDV.</w:t>
      </w:r>
    </w:p>
    <w:p w:rsidR="000E49AD" w:rsidP="003C6BCB" w14:paraId="366BEFD6" w14:textId="50919ED9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Aderir ao PDV é um</w:t>
      </w:r>
      <w:r w:rsidR="00DB5081">
        <w:rPr>
          <w:color w:val="404040"/>
        </w:rPr>
        <w:t>a faculdade do servidor público. Todas as informações necessárias serão fornecidas aos funcionários, incluindo os benefícios oferecidos, as condições de adesão e os direitos que serão afetados pela participação.</w:t>
      </w:r>
    </w:p>
    <w:p w:rsidR="00A67DE2" w:rsidP="003C6BCB" w14:paraId="18FCB274" w14:textId="10C627D8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as etapas para aderir ao PDV serão regulamentadas por meio de Decreto Legislativo que irá estabelecer critérios de prioridade e disponibilidade orçamentária.</w:t>
      </w:r>
    </w:p>
    <w:p w:rsidR="00DB5081" w:rsidP="00DB5081" w14:paraId="291472D9" w14:textId="4EB19A7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Tal medida, ou seja, a instituição do PDV visa uma economia aos cofres públicos e inovação do quadro de funcionários. Também busca ajustar e atender os apontamentos realizados pelo Tribunal de Contas nos exercícios de 2021 e 2022 quando da análise da folha de pagamento.</w:t>
      </w:r>
    </w:p>
    <w:p w:rsidR="007B6058" w:rsidP="003C6BCB" w14:paraId="0ECE65CE" w14:textId="4671EDB8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Portanto</w:t>
      </w:r>
      <w:r w:rsidR="00021B2B">
        <w:rPr>
          <w:color w:val="404040"/>
        </w:rPr>
        <w:t xml:space="preserve">, </w:t>
      </w:r>
      <w:r>
        <w:rPr>
          <w:color w:val="404040"/>
        </w:rPr>
        <w:t>a</w:t>
      </w:r>
      <w:r w:rsidRPr="003D6D21">
        <w:rPr>
          <w:color w:val="404040"/>
        </w:rPr>
        <w:t xml:space="preserve"> proposta é oportuna e conveniente, considerando </w:t>
      </w:r>
      <w:r w:rsidR="00DB5081">
        <w:rPr>
          <w:color w:val="404040"/>
        </w:rPr>
        <w:t xml:space="preserve">o anseio dos servidores públicos para instituição de tal programa e </w:t>
      </w:r>
      <w:r w:rsidR="00863D24">
        <w:rPr>
          <w:color w:val="404040"/>
        </w:rPr>
        <w:t>o objetivo de desonerar os cofres públicos e inovar o quadro de servidores públicos da administração direta e indireta.</w:t>
      </w:r>
    </w:p>
    <w:p w:rsidR="00464667" w:rsidP="00464667" w14:paraId="225EEAE9" w14:textId="67BFF950">
      <w:pPr>
        <w:pStyle w:val="NormalWeb"/>
        <w:spacing w:line="360" w:lineRule="auto"/>
        <w:rPr>
          <w:color w:val="404040"/>
        </w:rPr>
      </w:pPr>
      <w:r>
        <w:pict>
          <v:rect id="_x0000_i1027" style="width:0;height:0.75pt" o:hralign="center" o:hrstd="t" o:hrnoshade="t" o:hr="t" fillcolor="#404040" stroked="f"/>
        </w:pict>
      </w:r>
    </w:p>
    <w:p w:rsidR="00464667" w:rsidRPr="003D6D21" w:rsidP="00464667" w14:paraId="3FBCE12D" w14:textId="11280D40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 xml:space="preserve">III </w:t>
      </w:r>
      <w:r>
        <w:rPr>
          <w:rStyle w:val="Strong"/>
          <w:b/>
          <w:bCs w:val="0"/>
          <w:color w:val="404040"/>
          <w:sz w:val="24"/>
          <w:szCs w:val="24"/>
        </w:rPr>
        <w:t>–</w:t>
      </w:r>
      <w:r w:rsidRPr="003D6D21">
        <w:rPr>
          <w:rStyle w:val="Strong"/>
          <w:b/>
          <w:bCs w:val="0"/>
          <w:color w:val="404040"/>
          <w:sz w:val="24"/>
          <w:szCs w:val="24"/>
        </w:rPr>
        <w:t xml:space="preserve"> </w:t>
      </w:r>
      <w:r>
        <w:rPr>
          <w:rStyle w:val="Strong"/>
          <w:b/>
          <w:bCs w:val="0"/>
          <w:color w:val="404040"/>
          <w:sz w:val="24"/>
          <w:szCs w:val="24"/>
        </w:rPr>
        <w:t>IMPACTO FINANCEIRO E ORÇAMENTÁRIO</w:t>
      </w:r>
    </w:p>
    <w:p w:rsidR="00464667" w:rsidP="00464667" w14:paraId="657BCB2D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Esta relatoria também concluiu que o presente Projeto de Lei não gera impactos financeiros significativos ao erário.</w:t>
      </w:r>
    </w:p>
    <w:p w:rsidR="00464667" w:rsidP="00464667" w14:paraId="42A176E6" w14:textId="4F943999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Considerando a previsão de recursos já existentes, verificou-se que o PDV não implicará em aumento de despesas, bem como pode ser implementado dentro das limitações orçamentárias atuais e não gerará impactos orçamentários nos exercícios futuros.</w:t>
      </w:r>
    </w:p>
    <w:p w:rsidR="00464667" w:rsidP="00464667" w14:paraId="2839F534" w14:textId="438EDB61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Dessa forma, não haveria necessidade de revisão ou alteração na Lei Orçamentária Anual (LOA) vigente, nem de alocação de recursos adicionais para sua implementação ainda esse ano.</w:t>
      </w:r>
    </w:p>
    <w:p w:rsidR="0027672A" w:rsidP="00464667" w14:paraId="06C7A23C" w14:textId="54C38211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na Mensagem encaminhada é ressaltado que serão utilizadas as dotações já reservadas para folha de pagamento.</w:t>
      </w:r>
    </w:p>
    <w:p w:rsidR="00464667" w:rsidP="0027672A" w14:paraId="0453EA4E" w14:textId="0A2E6BD3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Por fim, o §3º do artigo 4° prevê a regulamentação da lei por meio de Decreto Legislativo, seguindo critérios de prioridade e disponibilidade orçamentária.</w:t>
      </w:r>
    </w:p>
    <w:p w:rsidR="00F74441" w:rsidRPr="003D6D21" w:rsidP="003D6D21" w14:paraId="38BA90DC" w14:textId="5575C932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68542A3A" w14:textId="16D3B14B">
      <w:pPr>
        <w:pStyle w:val="Heading3"/>
        <w:spacing w:line="360" w:lineRule="auto"/>
        <w:rPr>
          <w:color w:val="404040"/>
          <w:sz w:val="24"/>
          <w:szCs w:val="24"/>
        </w:rPr>
      </w:pPr>
      <w:r>
        <w:rPr>
          <w:rStyle w:val="Strong"/>
          <w:b/>
          <w:bCs w:val="0"/>
          <w:color w:val="404040"/>
          <w:sz w:val="24"/>
          <w:szCs w:val="24"/>
        </w:rPr>
        <w:t>IV</w:t>
      </w:r>
      <w:r w:rsidRPr="003D6D21">
        <w:rPr>
          <w:rStyle w:val="Strong"/>
          <w:b/>
          <w:bCs w:val="0"/>
          <w:color w:val="404040"/>
          <w:sz w:val="24"/>
          <w:szCs w:val="24"/>
        </w:rPr>
        <w:t xml:space="preserve"> - OFERECIMENTO DE SUBSTITUTIVO, EMENDAS OU SUBEMENDAS</w:t>
      </w:r>
    </w:p>
    <w:p w:rsidR="00F74441" w:rsidRPr="003D6D21" w:rsidP="00F13148" w14:paraId="0344C6BF" w14:textId="502EE663">
      <w:pPr>
        <w:pStyle w:val="NormalWeb"/>
        <w:spacing w:line="360" w:lineRule="auto"/>
        <w:ind w:firstLine="720"/>
        <w:jc w:val="both"/>
      </w:pPr>
      <w:r>
        <w:rPr>
          <w:color w:val="404040"/>
        </w:rPr>
        <w:t xml:space="preserve">Esta relatoria propõe </w:t>
      </w:r>
      <w:r w:rsidR="00E81D6E">
        <w:rPr>
          <w:color w:val="404040"/>
        </w:rPr>
        <w:t>emendas ao Projeto de Lei n°11/2025</w:t>
      </w:r>
      <w:r w:rsidR="001A23DA">
        <w:rPr>
          <w:color w:val="404040"/>
        </w:rPr>
        <w:t>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3D6D21" w:rsidP="003D6D21" w14:paraId="0089363A" w14:textId="52454E81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V - DECISÃO DA COMISSÃO</w:t>
      </w:r>
    </w:p>
    <w:p w:rsidR="00F74441" w:rsidRPr="003D6D21" w:rsidP="003D6D21" w14:paraId="2AF20253" w14:textId="3DF6B93D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</w:t>
      </w:r>
      <w:r w:rsidR="001A23DA">
        <w:rPr>
          <w:color w:val="404040"/>
        </w:rPr>
        <w:t>jeto de Lei nº 11</w:t>
      </w:r>
      <w:r w:rsidRPr="003D6D21">
        <w:rPr>
          <w:color w:val="404040"/>
        </w:rPr>
        <w:t xml:space="preserve"> de 2025, </w:t>
      </w:r>
      <w:r w:rsidR="001A23DA">
        <w:rPr>
          <w:rStyle w:val="Strong"/>
          <w:color w:val="404040"/>
        </w:rPr>
        <w:t>com</w:t>
      </w:r>
      <w:r w:rsidR="003D6D21">
        <w:rPr>
          <w:rStyle w:val="Strong"/>
          <w:color w:val="404040"/>
        </w:rPr>
        <w:t xml:space="preserve"> emendas</w:t>
      </w:r>
      <w:r w:rsidRPr="003D6D21">
        <w:rPr>
          <w:color w:val="404040"/>
        </w:rPr>
        <w:t>, considerando-o </w:t>
      </w:r>
      <w:r w:rsidR="00A67DE2">
        <w:rPr>
          <w:rStyle w:val="Strong"/>
          <w:color w:val="404040"/>
        </w:rPr>
        <w:t>legal,</w:t>
      </w:r>
      <w:r w:rsidR="001A23DA">
        <w:rPr>
          <w:rStyle w:val="Strong"/>
          <w:color w:val="404040"/>
        </w:rPr>
        <w:t xml:space="preserve"> constitucional e</w:t>
      </w:r>
      <w:r w:rsidRPr="003D6D21">
        <w:rPr>
          <w:rStyle w:val="Strong"/>
          <w:color w:val="404040"/>
        </w:rPr>
        <w:t xml:space="preserve"> conveniente</w:t>
      </w:r>
      <w:r w:rsidRPr="003D6D21">
        <w:rPr>
          <w:color w:val="404040"/>
        </w:rPr>
        <w:t>.</w:t>
      </w:r>
    </w:p>
    <w:p w:rsidR="00F74441" w:rsidRPr="003D6D2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346786" w:rsidRPr="003D6D2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Wagner Ricardo Pereira (Presidente)</w:t>
      </w:r>
    </w:p>
    <w:p w:rsidR="00346786" w:rsidRPr="00346786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</w:p>
    <w:p w:rsidR="00346786" w:rsidRPr="003D6D21" w:rsidP="00346786" w14:paraId="25BDC939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Victor Gasparini (Membro/ Relator)</w:t>
      </w:r>
    </w:p>
    <w:p w:rsidR="00F74441" w:rsidRPr="003D6D2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3D6D21" w:rsidP="003D6D21" w14:paraId="6AB168D8" w14:textId="6D15C909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603CE4">
        <w:rPr>
          <w:rStyle w:val="Strong"/>
          <w:color w:val="404040"/>
        </w:rPr>
        <w:t xml:space="preserve"> “VEREADOR SANT</w:t>
      </w:r>
      <w:r w:rsidR="00E81D6E">
        <w:rPr>
          <w:rStyle w:val="Strong"/>
          <w:color w:val="404040"/>
        </w:rPr>
        <w:t>O RÓTTOLI”, em 14</w:t>
      </w:r>
      <w:r w:rsidR="00603CE4">
        <w:rPr>
          <w:rStyle w:val="Strong"/>
          <w:color w:val="404040"/>
        </w:rPr>
        <w:t xml:space="preserve"> de março</w:t>
      </w:r>
      <w:r w:rsidRPr="003D6D21">
        <w:rPr>
          <w:rStyle w:val="Strong"/>
          <w:color w:val="404040"/>
        </w:rPr>
        <w:t xml:space="preserve"> de 2025.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F13148" w:rsidRPr="003D6D21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3D6D21" w:rsidP="003D6D21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F74441" w:rsidRPr="003D6D21" w:rsidP="003D6D21" w14:paraId="03FE7FBF" w14:textId="76B949F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Consulta/005</w:t>
      </w:r>
      <w:r w:rsidR="00F13148">
        <w:rPr>
          <w:rStyle w:val="Strong"/>
          <w:color w:val="404040"/>
        </w:rPr>
        <w:t>8/2025/MN/G/</w:t>
      </w:r>
      <w:r w:rsidRPr="003D6D21">
        <w:rPr>
          <w:color w:val="404040"/>
        </w:rPr>
        <w:t xml:space="preserve">, elaborada pela assessoria jurídica externa, que aponta </w:t>
      </w:r>
      <w:r w:rsidR="008C125D">
        <w:rPr>
          <w:color w:val="404040"/>
        </w:rPr>
        <w:t>que o projeto versa sobre questão de interesse local</w:t>
      </w:r>
      <w:r w:rsidR="00E57571">
        <w:rPr>
          <w:color w:val="404040"/>
        </w:rPr>
        <w:t>. Declara</w:t>
      </w:r>
      <w:r w:rsidR="00F13148">
        <w:rPr>
          <w:color w:val="404040"/>
        </w:rPr>
        <w:t xml:space="preserve"> que a iniciativa de lei é </w:t>
      </w:r>
      <w:r>
        <w:rPr>
          <w:color w:val="404040"/>
        </w:rPr>
        <w:t>privativa do Chefe do Poder Executivo.</w:t>
      </w:r>
    </w:p>
    <w:p w:rsidR="0055728D" w:rsidP="0055728D" w14:paraId="144793A5" w14:textId="26BFCC8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STF</w:t>
      </w:r>
      <w:r w:rsidR="00DC32F0">
        <w:rPr>
          <w:rStyle w:val="Strong"/>
          <w:color w:val="404040"/>
        </w:rPr>
        <w:t xml:space="preserve">, </w:t>
      </w:r>
      <w:r w:rsidR="001A23DA">
        <w:rPr>
          <w:rStyle w:val="Strong"/>
          <w:color w:val="404040"/>
        </w:rPr>
        <w:t>RE n°120133</w:t>
      </w:r>
      <w:r w:rsidRPr="003D6D21" w:rsidR="00F74441">
        <w:rPr>
          <w:color w:val="404040"/>
        </w:rPr>
        <w:t xml:space="preserve">, do </w:t>
      </w:r>
      <w:r w:rsidR="008C125D">
        <w:rPr>
          <w:color w:val="404040"/>
        </w:rPr>
        <w:t>Supremo Tribunal Federal</w:t>
      </w:r>
      <w:r w:rsidRPr="003D6D21" w:rsidR="00F74441">
        <w:rPr>
          <w:color w:val="404040"/>
        </w:rPr>
        <w:t xml:space="preserve">, que </w:t>
      </w:r>
      <w:r w:rsidR="008C125D">
        <w:rPr>
          <w:color w:val="404040"/>
        </w:rPr>
        <w:t xml:space="preserve">firmou entendimento no sentido de que </w:t>
      </w:r>
      <w:r w:rsidR="001A23DA">
        <w:rPr>
          <w:color w:val="404040"/>
        </w:rPr>
        <w:t>a competência do município para organizar seu quadro de pessoal é consectária de sua autonomia administrativa.</w:t>
      </w:r>
    </w:p>
    <w:p w:rsidR="001A23DA" w:rsidP="001A23DA" w14:paraId="2B1E48FE" w14:textId="2A6B97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Constituiçã</w:t>
      </w:r>
      <w:r>
        <w:rPr>
          <w:rStyle w:val="Strong"/>
          <w:color w:val="404040"/>
        </w:rPr>
        <w:t>o Federal, Art. 30, I</w:t>
      </w:r>
      <w:r>
        <w:rPr>
          <w:color w:val="404040"/>
        </w:rPr>
        <w:t>: b</w:t>
      </w:r>
      <w:r w:rsidRPr="0047576C">
        <w:rPr>
          <w:color w:val="404040"/>
        </w:rPr>
        <w:t>ase leg</w:t>
      </w:r>
      <w:r>
        <w:rPr>
          <w:color w:val="404040"/>
        </w:rPr>
        <w:t>al para a competência municipal</w:t>
      </w:r>
      <w:r w:rsidR="008E1495">
        <w:rPr>
          <w:color w:val="404040"/>
        </w:rPr>
        <w:t xml:space="preserve"> para legislar sobre assuntos de interesse local</w:t>
      </w:r>
      <w:r>
        <w:rPr>
          <w:color w:val="404040"/>
        </w:rPr>
        <w:t>.</w:t>
      </w:r>
    </w:p>
    <w:p w:rsidR="008E1495" w:rsidRPr="008E1495" w:rsidP="008E1495" w14:paraId="516A9BF5" w14:textId="7CB2E7C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Constituiçã</w:t>
      </w:r>
      <w:r>
        <w:rPr>
          <w:rStyle w:val="Strong"/>
          <w:color w:val="404040"/>
        </w:rPr>
        <w:t>o Federal, Art. 30, incisos III e V</w:t>
      </w:r>
      <w:r>
        <w:rPr>
          <w:color w:val="404040"/>
        </w:rPr>
        <w:t>: competência municipal para aplicar suas rendas e organizar seus serviços.</w:t>
      </w:r>
    </w:p>
    <w:p w:rsidR="001A23DA" w:rsidRPr="001A23DA" w:rsidP="001A23DA" w14:paraId="6971EFBD" w14:textId="673C7A1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Constituiçã</w:t>
      </w:r>
      <w:r>
        <w:rPr>
          <w:rStyle w:val="Strong"/>
          <w:color w:val="404040"/>
        </w:rPr>
        <w:t xml:space="preserve">o Federal, </w:t>
      </w:r>
      <w:r>
        <w:rPr>
          <w:rStyle w:val="Strong"/>
          <w:color w:val="404040"/>
        </w:rPr>
        <w:t>Art</w:t>
      </w:r>
      <w:r w:rsidR="008E1495">
        <w:rPr>
          <w:rStyle w:val="Strong"/>
          <w:color w:val="404040"/>
        </w:rPr>
        <w:t>s</w:t>
      </w:r>
      <w:r>
        <w:rPr>
          <w:rStyle w:val="Strong"/>
          <w:color w:val="404040"/>
        </w:rPr>
        <w:t>. 37</w:t>
      </w:r>
      <w:r w:rsidR="008E1495">
        <w:rPr>
          <w:rStyle w:val="Strong"/>
          <w:color w:val="404040"/>
        </w:rPr>
        <w:t xml:space="preserve"> a 41</w:t>
      </w:r>
      <w:r>
        <w:rPr>
          <w:color w:val="404040"/>
        </w:rPr>
        <w:t xml:space="preserve">: </w:t>
      </w:r>
      <w:r w:rsidR="008E1495">
        <w:rPr>
          <w:color w:val="404040"/>
        </w:rPr>
        <w:t>normas constitucionais aplicáveis aos servidores públicos.</w:t>
      </w:r>
    </w:p>
    <w:p w:rsidR="00DC32F0" w:rsidRPr="00DC32F0" w:rsidP="00DC32F0" w14:paraId="57E9043A" w14:textId="592AFA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Lei Orgânica do Município de Mogi Mirim</w:t>
      </w:r>
      <w:r w:rsidR="001A23DA">
        <w:rPr>
          <w:rStyle w:val="Strong"/>
          <w:color w:val="404040"/>
        </w:rPr>
        <w:t>, Art. 12</w:t>
      </w:r>
      <w:r>
        <w:rPr>
          <w:rStyle w:val="Strong"/>
          <w:color w:val="404040"/>
        </w:rPr>
        <w:t>, I</w:t>
      </w:r>
      <w:r w:rsidR="001A23DA">
        <w:rPr>
          <w:rStyle w:val="Strong"/>
          <w:color w:val="404040"/>
        </w:rPr>
        <w:t xml:space="preserve"> e XI</w:t>
      </w:r>
      <w:r w:rsidR="00E57571">
        <w:rPr>
          <w:color w:val="404040"/>
        </w:rPr>
        <w:t>: b</w:t>
      </w:r>
      <w:r w:rsidRPr="0047576C">
        <w:rPr>
          <w:color w:val="404040"/>
        </w:rPr>
        <w:t>ase leg</w:t>
      </w:r>
      <w:r w:rsidR="001A23DA">
        <w:rPr>
          <w:color w:val="404040"/>
        </w:rPr>
        <w:t>al para legislar sobre assuntos de interesse local e organizar o quadro e estabelecer regime jurídico único dos servidores municipais</w:t>
      </w:r>
      <w:r>
        <w:rPr>
          <w:color w:val="404040"/>
        </w:rPr>
        <w:t>.</w:t>
      </w:r>
    </w:p>
    <w:p w:rsidR="00F13148" w:rsidRPr="00DC32F0" w:rsidP="0055728D" w14:paraId="3FCD4BA2" w14:textId="19560AD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  <w:color w:val="404040"/>
        </w:rPr>
      </w:pPr>
      <w:r>
        <w:rPr>
          <w:rStyle w:val="Strong"/>
          <w:color w:val="404040"/>
        </w:rPr>
        <w:t>C</w:t>
      </w:r>
      <w:r w:rsidR="008E1495">
        <w:rPr>
          <w:rStyle w:val="Strong"/>
          <w:color w:val="404040"/>
        </w:rPr>
        <w:t>onsolidação das Leis do Trabalho, Art. 477-B</w:t>
      </w:r>
      <w:r w:rsidR="00DC32F0">
        <w:rPr>
          <w:rStyle w:val="Strong"/>
          <w:color w:val="404040"/>
        </w:rPr>
        <w:t xml:space="preserve">: </w:t>
      </w:r>
      <w:r w:rsidRPr="008E1495" w:rsidR="008E1495">
        <w:rPr>
          <w:rStyle w:val="Strong"/>
          <w:b w:val="0"/>
          <w:color w:val="404040"/>
        </w:rPr>
        <w:t>dispõe sobre a</w:t>
      </w:r>
      <w:r w:rsidRPr="008E1495" w:rsidR="008E1495">
        <w:rPr>
          <w:rStyle w:val="Strong"/>
          <w:color w:val="404040"/>
        </w:rPr>
        <w:t xml:space="preserve"> </w:t>
      </w:r>
      <w:r w:rsidRPr="008E1495" w:rsidR="008E1495">
        <w:rPr>
          <w:color w:val="404040"/>
        </w:rPr>
        <w:t>instituição de Plano de Demissão Voluntária ou Incentivada</w:t>
      </w:r>
      <w:r w:rsidR="008E1495">
        <w:rPr>
          <w:color w:val="404040"/>
        </w:rPr>
        <w:t xml:space="preserve"> aplicável aos empregados públicos.</w:t>
      </w:r>
    </w:p>
    <w:p w:rsidR="00DC32F0" w:rsidP="00DC32F0" w14:paraId="0F91F300" w14:textId="60645B9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 xml:space="preserve">Lei </w:t>
      </w:r>
      <w:r w:rsidR="008E1495">
        <w:rPr>
          <w:rStyle w:val="Strong"/>
          <w:color w:val="404040"/>
        </w:rPr>
        <w:t>Federal nº 9.468/1997</w:t>
      </w:r>
      <w:r w:rsidRPr="0047576C">
        <w:rPr>
          <w:color w:val="404040"/>
        </w:rPr>
        <w:t xml:space="preserve">: </w:t>
      </w:r>
      <w:r w:rsidR="005B5870">
        <w:rPr>
          <w:color w:val="404040"/>
        </w:rPr>
        <w:t>institui o “</w:t>
      </w:r>
      <w:r w:rsidRPr="006E3A0E" w:rsidR="005B5870">
        <w:rPr>
          <w:i/>
          <w:color w:val="404040"/>
        </w:rPr>
        <w:t>Programa de Desligamento Voluntário de servidores civis do Poder Executivo Federal</w:t>
      </w:r>
      <w:r w:rsidR="005B5870">
        <w:rPr>
          <w:color w:val="404040"/>
        </w:rPr>
        <w:t>”</w:t>
      </w:r>
      <w:r w:rsidRPr="0047576C">
        <w:rPr>
          <w:color w:val="404040"/>
        </w:rPr>
        <w:t>.</w:t>
      </w:r>
    </w:p>
    <w:p w:rsidR="008E1495" w:rsidRPr="00F54B63" w:rsidP="00DC32F0" w14:paraId="18C124E1" w14:textId="7B872FA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 xml:space="preserve">Lei Estadual nº </w:t>
      </w:r>
      <w:r w:rsidR="005B5870">
        <w:rPr>
          <w:rStyle w:val="Strong"/>
          <w:color w:val="404040"/>
        </w:rPr>
        <w:t xml:space="preserve">17.293/2020 </w:t>
      </w:r>
      <w:r w:rsidR="005B5870">
        <w:rPr>
          <w:color w:val="404040"/>
        </w:rPr>
        <w:t>“</w:t>
      </w:r>
      <w:r w:rsidRPr="006E3A0E" w:rsidR="005B5870">
        <w:rPr>
          <w:i/>
          <w:color w:val="404040"/>
        </w:rPr>
        <w:t>estabelece medidas voltadas para o ajuste fiscal e ao equilíbrio das contas públicas e dá outras providências correlatas</w:t>
      </w:r>
      <w:r w:rsidR="005B5870">
        <w:rPr>
          <w:color w:val="404040"/>
        </w:rPr>
        <w:t xml:space="preserve">” e </w:t>
      </w:r>
      <w:r w:rsidR="005B5870">
        <w:rPr>
          <w:rStyle w:val="Strong"/>
          <w:color w:val="404040"/>
        </w:rPr>
        <w:t>Art</w:t>
      </w:r>
      <w:r w:rsidR="00173831">
        <w:rPr>
          <w:rStyle w:val="Strong"/>
          <w:color w:val="404040"/>
        </w:rPr>
        <w:t>s</w:t>
      </w:r>
      <w:r w:rsidR="005B5870">
        <w:rPr>
          <w:rStyle w:val="Strong"/>
          <w:color w:val="404040"/>
        </w:rPr>
        <w:t>. 26 a 34</w:t>
      </w:r>
      <w:r w:rsidR="005B5870">
        <w:rPr>
          <w:color w:val="404040"/>
        </w:rPr>
        <w:t xml:space="preserve"> que estabelece o Programa de Demissão Incentivada (PDI).</w:t>
      </w:r>
    </w:p>
    <w:p w:rsidR="00A67DE2" w:rsidP="00DC32F0" w14:paraId="7FAD1FE7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603CE4" w:rsidP="00DC32F0" w14:paraId="17A6705F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603CE4" w:rsidP="00DC32F0" w14:paraId="6731B9C3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F13148" w:rsidRPr="00F13148" w:rsidP="00F13148" w14:paraId="2BB5648D" w14:textId="08115E36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603CE4">
        <w:rPr>
          <w:rFonts w:ascii="Palatino Linotype" w:hAnsi="Palatino Linotype" w:cs="Arial"/>
          <w:b/>
          <w:sz w:val="24"/>
          <w:szCs w:val="24"/>
        </w:rPr>
        <w:t xml:space="preserve">E FINANÇAS E ORÇAMENTO </w:t>
      </w:r>
      <w:r w:rsidR="008E1495">
        <w:rPr>
          <w:rFonts w:ascii="Palatino Linotype" w:hAnsi="Palatino Linotype" w:cs="Arial"/>
          <w:b/>
          <w:sz w:val="24"/>
          <w:szCs w:val="24"/>
        </w:rPr>
        <w:t>AO PROJETO DE LEI N° 11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04270525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</w:t>
      </w:r>
      <w:r w:rsidR="00603CE4">
        <w:rPr>
          <w:rFonts w:ascii="Palatino Linotype" w:hAnsi="Palatino Linotype" w:cs="Arial"/>
          <w:sz w:val="24"/>
          <w:szCs w:val="24"/>
        </w:rPr>
        <w:t>m</w:t>
      </w:r>
      <w:r>
        <w:rPr>
          <w:rFonts w:ascii="Palatino Linotype" w:hAnsi="Palatino Linotype" w:cs="Arial"/>
          <w:sz w:val="24"/>
          <w:szCs w:val="24"/>
        </w:rPr>
        <w:t xml:space="preserve"> o</w:t>
      </w:r>
      <w:r w:rsidR="00603CE4">
        <w:rPr>
          <w:rFonts w:ascii="Palatino Linotype" w:hAnsi="Palatino Linotype" w:cs="Arial"/>
          <w:sz w:val="24"/>
          <w:szCs w:val="24"/>
        </w:rPr>
        <w:t>s</w:t>
      </w:r>
      <w:r>
        <w:rPr>
          <w:rFonts w:ascii="Palatino Linotype" w:hAnsi="Palatino Linotype" w:cs="Arial"/>
          <w:sz w:val="24"/>
          <w:szCs w:val="24"/>
        </w:rPr>
        <w:t xml:space="preserve"> artigo</w:t>
      </w:r>
      <w:r w:rsidR="00603CE4">
        <w:rPr>
          <w:rFonts w:ascii="Palatino Linotype" w:hAnsi="Palatino Linotype" w:cs="Arial"/>
          <w:sz w:val="24"/>
          <w:szCs w:val="24"/>
        </w:rPr>
        <w:t>s</w:t>
      </w:r>
      <w:r>
        <w:rPr>
          <w:rFonts w:ascii="Palatino Linotype" w:hAnsi="Palatino Linotype" w:cs="Arial"/>
          <w:sz w:val="24"/>
          <w:szCs w:val="24"/>
        </w:rPr>
        <w:t xml:space="preserve"> 35 </w:t>
      </w:r>
      <w:r w:rsidR="00603CE4">
        <w:rPr>
          <w:rFonts w:ascii="Palatino Linotype" w:hAnsi="Palatino Linotype" w:cs="Arial"/>
          <w:sz w:val="24"/>
          <w:szCs w:val="24"/>
        </w:rPr>
        <w:t xml:space="preserve">e 37 </w:t>
      </w:r>
      <w:r>
        <w:rPr>
          <w:rFonts w:ascii="Palatino Linotype" w:hAnsi="Palatino Linotype" w:cs="Arial"/>
          <w:sz w:val="24"/>
          <w:szCs w:val="24"/>
        </w:rPr>
        <w:t xml:space="preserve">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="00603CE4">
        <w:rPr>
          <w:rFonts w:ascii="Palatino Linotype" w:hAnsi="Palatino Linotype" w:cs="Arial"/>
          <w:sz w:val="24"/>
          <w:szCs w:val="24"/>
        </w:rPr>
        <w:t xml:space="preserve">e Finanças e Orçamento </w:t>
      </w:r>
      <w:r>
        <w:rPr>
          <w:rFonts w:ascii="Palatino Linotype" w:hAnsi="Palatino Linotype" w:cs="Arial"/>
          <w:sz w:val="24"/>
          <w:szCs w:val="24"/>
        </w:rPr>
        <w:t>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5B5870">
        <w:rPr>
          <w:rFonts w:ascii="Palatino Linotype" w:hAnsi="Palatino Linotype" w:cs="Arial"/>
          <w:sz w:val="24"/>
          <w:szCs w:val="24"/>
        </w:rPr>
        <w:t>AVORÁVEL ao Projeto de Lei n° 11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212B6A0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620972">
        <w:rPr>
          <w:rFonts w:ascii="Palatino Linotype" w:hAnsi="Palatino Linotype" w:cs="Arial"/>
          <w:bCs/>
          <w:sz w:val="24"/>
          <w:szCs w:val="24"/>
        </w:rPr>
        <w:t>Comissões, 14</w:t>
      </w:r>
      <w:bookmarkStart w:id="0" w:name="_GoBack"/>
      <w:bookmarkEnd w:id="0"/>
      <w:r w:rsidR="00603CE4">
        <w:rPr>
          <w:rFonts w:ascii="Palatino Linotype" w:hAnsi="Palatino Linotype" w:cs="Arial"/>
          <w:bCs/>
          <w:sz w:val="24"/>
          <w:szCs w:val="24"/>
        </w:rPr>
        <w:t xml:space="preserve"> de março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6BA3E9F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0A5495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2929BC78" w14:textId="7C667A4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603CE4" w:rsidP="00603CE4" w14:paraId="4130013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37149E3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603CE4" w:rsidP="00603CE4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603CE4" w:rsidP="00603CE4" w14:paraId="6E8AE393" w14:textId="0D7268F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603CE4" w:rsidRPr="00BA1AE5" w:rsidP="00603CE4" w14:paraId="6734E54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19157D" w:rsidP="00603CE4" w14:paraId="614982CD" w14:textId="73E7A9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603CE4" w:rsidP="00603CE4" w14:paraId="5C2BCAD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4EF4C94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603CE4" w:rsidP="00603CE4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603CE4" w:rsidRPr="00BA1AE5" w:rsidP="00603CE4" w14:paraId="734C0631" w14:textId="4696884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603CE4" w:rsidP="00603CE4" w14:paraId="3EA0751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P="00603CE4" w14:paraId="2CB978A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19696E7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603CE4" w:rsidP="00603CE4" w14:paraId="6255A0F0" w14:textId="69C7B5B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603CE4" w:rsidP="00603CE4" w14:paraId="0A0BF8F9" w14:textId="20D7241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03CE4" w:rsidRPr="00BA1AE5" w:rsidP="00603CE4" w14:paraId="085B1D8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RPr="00BA1AE5" w:rsidP="00F13148" w14:paraId="3C33C56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157D"/>
    <w:rsid w:val="00192536"/>
    <w:rsid w:val="001A23DA"/>
    <w:rsid w:val="001A3CE4"/>
    <w:rsid w:val="001B7303"/>
    <w:rsid w:val="0020165D"/>
    <w:rsid w:val="00213987"/>
    <w:rsid w:val="00227E2C"/>
    <w:rsid w:val="00234376"/>
    <w:rsid w:val="0027672A"/>
    <w:rsid w:val="00291486"/>
    <w:rsid w:val="00297379"/>
    <w:rsid w:val="002A2BD3"/>
    <w:rsid w:val="002B71AC"/>
    <w:rsid w:val="002F3157"/>
    <w:rsid w:val="003121C8"/>
    <w:rsid w:val="00314B47"/>
    <w:rsid w:val="00322469"/>
    <w:rsid w:val="00346786"/>
    <w:rsid w:val="00362E04"/>
    <w:rsid w:val="00371A69"/>
    <w:rsid w:val="0038129E"/>
    <w:rsid w:val="00381C00"/>
    <w:rsid w:val="003A5737"/>
    <w:rsid w:val="003A796B"/>
    <w:rsid w:val="003B1A59"/>
    <w:rsid w:val="003C6BCB"/>
    <w:rsid w:val="003D6D21"/>
    <w:rsid w:val="003F0B47"/>
    <w:rsid w:val="003F59C5"/>
    <w:rsid w:val="00405098"/>
    <w:rsid w:val="00446FA1"/>
    <w:rsid w:val="00456770"/>
    <w:rsid w:val="00464667"/>
    <w:rsid w:val="0047576C"/>
    <w:rsid w:val="00497A43"/>
    <w:rsid w:val="004B6FDF"/>
    <w:rsid w:val="004D46DA"/>
    <w:rsid w:val="004E6092"/>
    <w:rsid w:val="005242B1"/>
    <w:rsid w:val="00543E03"/>
    <w:rsid w:val="005559D9"/>
    <w:rsid w:val="0055728D"/>
    <w:rsid w:val="00571662"/>
    <w:rsid w:val="0057515A"/>
    <w:rsid w:val="00590AA1"/>
    <w:rsid w:val="0059215B"/>
    <w:rsid w:val="005A235E"/>
    <w:rsid w:val="005B27A9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A35"/>
    <w:rsid w:val="006575C7"/>
    <w:rsid w:val="00657B9A"/>
    <w:rsid w:val="006834FE"/>
    <w:rsid w:val="00697874"/>
    <w:rsid w:val="006A54A9"/>
    <w:rsid w:val="006A762A"/>
    <w:rsid w:val="006C2150"/>
    <w:rsid w:val="006D1946"/>
    <w:rsid w:val="006E3A0E"/>
    <w:rsid w:val="006F48DD"/>
    <w:rsid w:val="007038AD"/>
    <w:rsid w:val="00753ABE"/>
    <w:rsid w:val="007556D8"/>
    <w:rsid w:val="0078178E"/>
    <w:rsid w:val="00784CD4"/>
    <w:rsid w:val="00785E1B"/>
    <w:rsid w:val="007A08D1"/>
    <w:rsid w:val="007B6058"/>
    <w:rsid w:val="007C6029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8102A"/>
    <w:rsid w:val="00996280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57090"/>
    <w:rsid w:val="00BA1AE5"/>
    <w:rsid w:val="00BA48C7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2363</Words>
  <Characters>12764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15</cp:revision>
  <cp:lastPrinted>2025-02-18T14:53:00Z</cp:lastPrinted>
  <dcterms:created xsi:type="dcterms:W3CDTF">2025-02-18T19:33:00Z</dcterms:created>
  <dcterms:modified xsi:type="dcterms:W3CDTF">2025-03-14T13:10:00Z</dcterms:modified>
</cp:coreProperties>
</file>