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42B1" w:rsidRPr="003D6D21" w:rsidP="00D2616B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D2616B" w:rsidRPr="00F13148" w:rsidP="00D2616B" w14:paraId="77B75E26" w14:textId="20EA4619">
      <w:pPr>
        <w:spacing w:line="380" w:lineRule="atLeast"/>
        <w:jc w:val="both"/>
        <w:rPr>
          <w:rFonts w:ascii="Palatino Linotype" w:hAnsi="Palatino Linotype" w:cs="Arial"/>
          <w:b/>
          <w:color w:val="FF0000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</w:t>
      </w:r>
      <w:r w:rsidRPr="00BA1AE5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DA COMISSÃO DE JUSTIÇA E REDAÇÃO REFERENTE AO VETO PARCIAL SOBRE O PROJETO DE LEI N° 11 DE 2025 DE AUTORIA DO PREFEITO MUNICIPAL PAULO DE OLIVEIRA E SILVA</w:t>
      </w:r>
      <w:r w:rsidRPr="00DC32F0">
        <w:rPr>
          <w:rFonts w:ascii="Palatino Linotype" w:hAnsi="Palatino Linotype" w:cs="Arial"/>
          <w:b/>
          <w:sz w:val="24"/>
          <w:szCs w:val="24"/>
        </w:rPr>
        <w:t>.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D2616B" w:rsidRPr="00D2616B" w:rsidP="00D2616B" w14:paraId="63C9A0EF" w14:textId="4FECD086">
      <w:pPr>
        <w:ind w:firstLine="720"/>
        <w:jc w:val="both"/>
        <w:rPr>
          <w:sz w:val="24"/>
          <w:szCs w:val="24"/>
        </w:rPr>
      </w:pPr>
      <w:r w:rsidRPr="00D2616B">
        <w:rPr>
          <w:sz w:val="24"/>
          <w:szCs w:val="24"/>
        </w:rPr>
        <w:t xml:space="preserve">Em estrita conformidade com as diretrizes normativas estabelecidas no artigo 191 da Resolução n.º 276, datada de 09 de novembro de 2010, a Comissão de Justiça e Redação desempenha sua nobre função ao apresentar o parecer em relação ao veto </w:t>
      </w:r>
      <w:r w:rsidR="005F6956">
        <w:rPr>
          <w:sz w:val="24"/>
          <w:szCs w:val="24"/>
        </w:rPr>
        <w:t>parcial ao Projeto de Lei nº 11 de 2025</w:t>
      </w:r>
      <w:r w:rsidRPr="00D2616B">
        <w:rPr>
          <w:sz w:val="24"/>
          <w:szCs w:val="24"/>
        </w:rPr>
        <w:t>. O mencionado projeto tem sua autoria atribuída ao Excelentíssimo Prefeito Municipal Paulo de Oliveira e Silva.</w:t>
      </w:r>
    </w:p>
    <w:p w:rsidR="00D2616B" w:rsidRPr="00D2616B" w:rsidP="00D2616B" w14:paraId="492FEBA2" w14:textId="77777777">
      <w:pPr>
        <w:jc w:val="both"/>
        <w:rPr>
          <w:sz w:val="24"/>
          <w:szCs w:val="24"/>
        </w:rPr>
      </w:pPr>
    </w:p>
    <w:p w:rsidR="00D2616B" w:rsidRPr="00D2616B" w:rsidP="00D2616B" w14:paraId="4E6F7487" w14:textId="32966B26">
      <w:pPr>
        <w:jc w:val="both"/>
        <w:rPr>
          <w:sz w:val="24"/>
          <w:szCs w:val="24"/>
        </w:rPr>
      </w:pPr>
      <w:r w:rsidRPr="00D2616B">
        <w:rPr>
          <w:sz w:val="24"/>
          <w:szCs w:val="24"/>
        </w:rPr>
        <w:tab/>
        <w:t>Cumpre ressaltar que</w:t>
      </w:r>
      <w:r w:rsidR="005F6956">
        <w:rPr>
          <w:sz w:val="24"/>
          <w:szCs w:val="24"/>
        </w:rPr>
        <w:t xml:space="preserve"> o Vereador Wagner Ricardo Pereira</w:t>
      </w:r>
      <w:r w:rsidRPr="00D2616B">
        <w:rPr>
          <w:sz w:val="24"/>
          <w:szCs w:val="24"/>
        </w:rPr>
        <w:t>, digno ocupante da presidência da Comissão de Justiça e Redação, assume a destacada posição de relator nesse contexto, incumbido da responsabilidade de analisar minuciosamente o conteúdo do presente parecer.</w:t>
      </w:r>
    </w:p>
    <w:p w:rsidR="00F74441" w:rsidRPr="003D6D21" w:rsidP="003D6D21" w14:paraId="255CBB13" w14:textId="10BE6B39">
      <w:pPr>
        <w:spacing w:line="360" w:lineRule="auto"/>
        <w:rPr>
          <w:sz w:val="24"/>
          <w:szCs w:val="24"/>
        </w:rPr>
      </w:pPr>
    </w:p>
    <w:p w:rsidR="00F74441" w:rsidRPr="005F6956" w:rsidP="003D6D21" w14:paraId="71819A52" w14:textId="3A4B803D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5F6956">
        <w:rPr>
          <w:rStyle w:val="Strong"/>
          <w:b/>
          <w:bCs w:val="0"/>
          <w:color w:val="auto"/>
          <w:sz w:val="24"/>
          <w:szCs w:val="24"/>
        </w:rPr>
        <w:t>I</w:t>
      </w:r>
      <w:r w:rsidRPr="005F6956" w:rsidR="00D2616B">
        <w:rPr>
          <w:rStyle w:val="Strong"/>
          <w:b/>
          <w:bCs w:val="0"/>
          <w:color w:val="auto"/>
          <w:sz w:val="24"/>
          <w:szCs w:val="24"/>
        </w:rPr>
        <w:t xml:space="preserve"> - EXPOSIÇÃO DA MATÉRIA </w:t>
      </w:r>
    </w:p>
    <w:p w:rsidR="005F6956" w:rsidRPr="005F6956" w:rsidP="005F6956" w14:paraId="29FB7EE2" w14:textId="77777777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5F6956">
        <w:tab/>
      </w:r>
      <w:r w:rsidRPr="005F6956">
        <w:rPr>
          <w:color w:val="000000"/>
          <w:sz w:val="24"/>
          <w:szCs w:val="24"/>
        </w:rPr>
        <w:t>Destaco, inicialmente, que o poder de veto atribuído ao Prefeito Municipal é uma prerrogativa conferida pelo art. 66, § 1º, da Constituição Federal, estendido ao Município em conformidade com o princípio da simetria, e conforme o disposto no art. 55, §1º, da Lei Orgânica do Município de Mogi Mirim.</w:t>
      </w:r>
    </w:p>
    <w:p w:rsidR="005F6956" w:rsidRPr="005F6956" w:rsidP="005F6956" w14:paraId="303F606C" w14:textId="77777777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 w:rsidRPr="005F6956">
        <w:rPr>
          <w:color w:val="000000"/>
          <w:sz w:val="24"/>
          <w:szCs w:val="24"/>
        </w:rPr>
        <w:tab/>
        <w:t>Nesse contexto, conforme se depreende do conteúdo desse dispositivo constitucional, o veto a um projeto de lei ocorre nos casos em que o Chefe do Poder Executivo o considera, total ou parcialmente, inconstitucional ou em desacordo com o interesse público.</w:t>
      </w:r>
    </w:p>
    <w:p w:rsidR="005F6956" w:rsidRPr="005F6956" w:rsidP="005F6956" w14:paraId="2AEAA012" w14:textId="49E31F91">
      <w:pPr>
        <w:pStyle w:val="BodyText"/>
        <w:spacing w:before="240"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Refere-se </w:t>
      </w:r>
      <w:r w:rsidRPr="005F6956">
        <w:rPr>
          <w:color w:val="000000"/>
          <w:sz w:val="24"/>
          <w:szCs w:val="24"/>
        </w:rPr>
        <w:t>o veto promulgado pelo P</w:t>
      </w:r>
      <w:r>
        <w:rPr>
          <w:color w:val="000000"/>
          <w:sz w:val="24"/>
          <w:szCs w:val="24"/>
        </w:rPr>
        <w:t>refeito Municipal à Emenda nº 06 ao Projeto de Lei nº 11 de 2025</w:t>
      </w:r>
      <w:r w:rsidRPr="005F6956">
        <w:rPr>
          <w:color w:val="000000"/>
          <w:sz w:val="24"/>
          <w:szCs w:val="24"/>
        </w:rPr>
        <w:t>, proposta pelo respeitáv</w:t>
      </w:r>
      <w:r>
        <w:rPr>
          <w:color w:val="000000"/>
          <w:sz w:val="24"/>
          <w:szCs w:val="24"/>
        </w:rPr>
        <w:t xml:space="preserve">el vereador Ernani Luiz Donatti </w:t>
      </w:r>
      <w:r>
        <w:rPr>
          <w:color w:val="000000"/>
          <w:sz w:val="24"/>
          <w:szCs w:val="24"/>
        </w:rPr>
        <w:t>Gragnanello</w:t>
      </w:r>
      <w:r w:rsidRPr="005F6956">
        <w:rPr>
          <w:color w:val="000000"/>
          <w:sz w:val="24"/>
          <w:szCs w:val="24"/>
        </w:rPr>
        <w:t>. A referida eme</w:t>
      </w:r>
      <w:r>
        <w:rPr>
          <w:color w:val="000000"/>
          <w:sz w:val="24"/>
          <w:szCs w:val="24"/>
        </w:rPr>
        <w:t>nda obteve aprovação unânime</w:t>
      </w:r>
      <w:r w:rsidR="00827313">
        <w:rPr>
          <w:color w:val="000000"/>
          <w:sz w:val="24"/>
          <w:szCs w:val="24"/>
        </w:rPr>
        <w:t xml:space="preserve"> durante a 8</w:t>
      </w:r>
      <w:r w:rsidRPr="005F6956">
        <w:rPr>
          <w:color w:val="000000"/>
          <w:sz w:val="24"/>
          <w:szCs w:val="24"/>
        </w:rPr>
        <w:t xml:space="preserve">ª </w:t>
      </w:r>
      <w:r w:rsidR="00827313">
        <w:rPr>
          <w:color w:val="000000"/>
          <w:sz w:val="24"/>
          <w:szCs w:val="24"/>
        </w:rPr>
        <w:t>Sessão Ordinária, ocorrida em 24 de março de 2025</w:t>
      </w:r>
      <w:r w:rsidRPr="005F6956">
        <w:rPr>
          <w:color w:val="000000"/>
          <w:sz w:val="24"/>
          <w:szCs w:val="24"/>
        </w:rPr>
        <w:t>.</w:t>
      </w:r>
    </w:p>
    <w:p w:rsidR="00827313" w:rsidP="005F6956" w14:paraId="53AA621A" w14:textId="3EB775D1">
      <w:pPr>
        <w:pStyle w:val="BodyText"/>
        <w:spacing w:before="240" w:after="0" w:line="240" w:lineRule="auto"/>
        <w:jc w:val="both"/>
        <w:rPr>
          <w:color w:val="000000"/>
          <w:sz w:val="24"/>
          <w:szCs w:val="24"/>
        </w:rPr>
      </w:pPr>
      <w:r w:rsidRPr="005F6956">
        <w:rPr>
          <w:color w:val="000000"/>
          <w:sz w:val="24"/>
          <w:szCs w:val="24"/>
        </w:rPr>
        <w:tab/>
        <w:t>A emenda apresentada ao Projeto de Lei que é obj</w:t>
      </w:r>
      <w:r>
        <w:rPr>
          <w:color w:val="000000"/>
          <w:sz w:val="24"/>
          <w:szCs w:val="24"/>
        </w:rPr>
        <w:t>eto deste Veto Parcial, propôs</w:t>
      </w:r>
      <w:r w:rsidRPr="005F6956">
        <w:rPr>
          <w:color w:val="000000"/>
          <w:sz w:val="24"/>
          <w:szCs w:val="24"/>
        </w:rPr>
        <w:t xml:space="preserve"> a </w:t>
      </w:r>
      <w:r>
        <w:rPr>
          <w:color w:val="000000"/>
          <w:sz w:val="24"/>
          <w:szCs w:val="24"/>
        </w:rPr>
        <w:t xml:space="preserve">substituição do texto do artigo 3°, </w:t>
      </w:r>
      <w:r w:rsidR="00F07B20">
        <w:rPr>
          <w:color w:val="000000"/>
          <w:sz w:val="24"/>
          <w:szCs w:val="24"/>
        </w:rPr>
        <w:t>sendo a nova</w:t>
      </w:r>
      <w:r>
        <w:rPr>
          <w:color w:val="000000"/>
          <w:sz w:val="24"/>
          <w:szCs w:val="24"/>
        </w:rPr>
        <w:t xml:space="preserve"> redação “</w:t>
      </w:r>
      <w:r w:rsidR="00B51F99">
        <w:rPr>
          <w:color w:val="000000"/>
          <w:sz w:val="24"/>
          <w:szCs w:val="24"/>
        </w:rPr>
        <w:t xml:space="preserve">Art.3°. </w:t>
      </w:r>
      <w:r>
        <w:rPr>
          <w:color w:val="000000"/>
          <w:sz w:val="24"/>
          <w:szCs w:val="24"/>
        </w:rPr>
        <w:t>O pedido de adesão ao PDV possui natureza irrevogável e classificação junto ao Termo de Rescisão de Contrato de Trabalho, como acordo entre empregado e empregador, nos termos do art.484-A”.</w:t>
      </w:r>
    </w:p>
    <w:p w:rsidR="00827313" w:rsidP="00827313" w14:paraId="27FAD65C" w14:textId="3902F889">
      <w:pPr>
        <w:pStyle w:val="BodyText"/>
        <w:spacing w:before="240"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ou</w:t>
      </w:r>
      <w:r w:rsidR="005935BC"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</w:rPr>
        <w:t>ro lado, a antiga redação</w:t>
      </w:r>
      <w:r w:rsidR="00F07B20">
        <w:rPr>
          <w:color w:val="000000"/>
          <w:sz w:val="24"/>
          <w:szCs w:val="24"/>
        </w:rPr>
        <w:t xml:space="preserve"> assim versava: “</w:t>
      </w:r>
      <w:r w:rsidR="00B51F99">
        <w:rPr>
          <w:color w:val="000000"/>
          <w:sz w:val="24"/>
          <w:szCs w:val="24"/>
        </w:rPr>
        <w:t xml:space="preserve">Art.3°. </w:t>
      </w:r>
      <w:r w:rsidR="00F07B20">
        <w:rPr>
          <w:color w:val="000000"/>
          <w:sz w:val="24"/>
          <w:szCs w:val="24"/>
        </w:rPr>
        <w:t>O pedido de adesão ao PDV possui natureza irrevogável e classificação junto ao Termo de Rescisão de Contrato de Trabalho, como pedido de demissão”.</w:t>
      </w:r>
    </w:p>
    <w:p w:rsidR="00D55283" w:rsidP="00827313" w14:paraId="1DE61C84" w14:textId="649AB6AC">
      <w:pPr>
        <w:pStyle w:val="BodyText"/>
        <w:spacing w:before="240"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Contudo, a redação conflita totalmente com o entendi</w:t>
      </w:r>
      <w:r w:rsidR="005935BC">
        <w:rPr>
          <w:color w:val="000000"/>
          <w:sz w:val="24"/>
          <w:szCs w:val="24"/>
        </w:rPr>
        <w:t>mento do texto original conforme</w:t>
      </w:r>
      <w:r>
        <w:rPr>
          <w:color w:val="000000"/>
          <w:sz w:val="24"/>
          <w:szCs w:val="24"/>
        </w:rPr>
        <w:t xml:space="preserve"> exposto abaixo.</w:t>
      </w:r>
    </w:p>
    <w:p w:rsidR="00F74441" w:rsidRPr="002F0B15" w:rsidP="002F0B15" w14:paraId="452BB01C" w14:textId="4E6460BB">
      <w:pPr>
        <w:pStyle w:val="BodyText"/>
        <w:spacing w:before="240" w:after="0" w:line="240" w:lineRule="auto"/>
        <w:jc w:val="both"/>
        <w:rPr>
          <w:sz w:val="24"/>
          <w:szCs w:val="24"/>
        </w:rPr>
      </w:pPr>
      <w:bookmarkStart w:id="0" w:name="_GoBack"/>
      <w:bookmarkEnd w:id="0"/>
    </w:p>
    <w:p w:rsidR="00D55283" w:rsidRPr="00D55283" w:rsidP="00D55283" w14:paraId="11E9A2C9" w14:textId="3948F8A3">
      <w:pPr>
        <w:pStyle w:val="Heading3"/>
        <w:spacing w:line="360" w:lineRule="auto"/>
        <w:rPr>
          <w:rStyle w:val="Strong"/>
          <w:b/>
          <w:bCs w:val="0"/>
          <w:color w:val="auto"/>
          <w:sz w:val="24"/>
          <w:szCs w:val="24"/>
        </w:rPr>
      </w:pPr>
      <w:r w:rsidRPr="002F0B15">
        <w:rPr>
          <w:rStyle w:val="Strong"/>
          <w:b/>
          <w:bCs w:val="0"/>
          <w:color w:val="auto"/>
          <w:sz w:val="24"/>
          <w:szCs w:val="24"/>
        </w:rPr>
        <w:t xml:space="preserve">II </w:t>
      </w:r>
      <w:r w:rsidR="002F0B15">
        <w:rPr>
          <w:rStyle w:val="Strong"/>
          <w:b/>
          <w:bCs w:val="0"/>
          <w:color w:val="auto"/>
          <w:sz w:val="24"/>
          <w:szCs w:val="24"/>
        </w:rPr>
        <w:t>–</w:t>
      </w:r>
      <w:r w:rsidRPr="002F0B15">
        <w:rPr>
          <w:rStyle w:val="Strong"/>
          <w:b/>
          <w:bCs w:val="0"/>
          <w:color w:val="auto"/>
          <w:sz w:val="24"/>
          <w:szCs w:val="24"/>
        </w:rPr>
        <w:t xml:space="preserve"> </w:t>
      </w:r>
      <w:r w:rsidR="002F0B15">
        <w:rPr>
          <w:rStyle w:val="Strong"/>
          <w:b/>
          <w:bCs w:val="0"/>
          <w:color w:val="auto"/>
          <w:sz w:val="24"/>
          <w:szCs w:val="24"/>
        </w:rPr>
        <w:t xml:space="preserve">DO MÉRITO E </w:t>
      </w:r>
      <w:r w:rsidRPr="002F0B15">
        <w:rPr>
          <w:rStyle w:val="Strong"/>
          <w:b/>
          <w:bCs w:val="0"/>
          <w:color w:val="auto"/>
          <w:sz w:val="24"/>
          <w:szCs w:val="24"/>
        </w:rPr>
        <w:t>CONCLUSÕES DO RELATOR</w:t>
      </w:r>
    </w:p>
    <w:p w:rsidR="00D55283" w:rsidP="00D55283" w14:paraId="1A5E70E7" w14:textId="77777777">
      <w:pPr>
        <w:pStyle w:val="BodyText"/>
        <w:spacing w:before="240"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 próprio nome, ou seja, Plano de Demissão Voluntária consta que será uma demissão e será um ato voluntário pelo servidor público que optar por se desligar. O servidor não será obrigado a aderir ao PDV.</w:t>
      </w:r>
    </w:p>
    <w:p w:rsidR="00D55283" w:rsidP="00D55283" w14:paraId="341E1B78" w14:textId="77777777">
      <w:pPr>
        <w:pStyle w:val="BodyText"/>
        <w:spacing w:before="240"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Sendo um ato que parte do próprio servidor público, o pedido somente poderia ser classificado junto ao Termo de Contrato de Trabalho como pedido de demissão e natureza irrevogável.</w:t>
      </w:r>
    </w:p>
    <w:p w:rsidR="00D55283" w:rsidP="00D55283" w14:paraId="0210A45D" w14:textId="77777777">
      <w:pPr>
        <w:pStyle w:val="BodyText"/>
        <w:spacing w:before="240"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Contudo, a nova redação conflita completamente com esse entendimento ao estabelecer que a classificação junto ao Termo de Rescisão do Contrato de Trabalho seria como acordo entre empregado e empregador, nos termos do artigo 484-A da CLT.</w:t>
      </w:r>
    </w:p>
    <w:p w:rsidR="00D55283" w:rsidP="00D55283" w14:paraId="537E2820" w14:textId="77777777">
      <w:pPr>
        <w:pStyle w:val="BodyText"/>
        <w:spacing w:before="240"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 artigo 484-A da CLT assim estabelece:</w:t>
      </w:r>
    </w:p>
    <w:p w:rsidR="00D55283" w:rsidRPr="00B51F99" w:rsidP="00D55283" w14:paraId="29D63124" w14:textId="77777777">
      <w:pPr>
        <w:pStyle w:val="BodyText"/>
        <w:spacing w:before="240" w:after="0" w:line="240" w:lineRule="auto"/>
        <w:ind w:left="2268" w:firstLine="720"/>
        <w:jc w:val="both"/>
        <w:rPr>
          <w:i/>
          <w:sz w:val="22"/>
          <w:szCs w:val="22"/>
          <w:shd w:val="clear" w:color="auto" w:fill="FFFFFF"/>
        </w:rPr>
      </w:pPr>
      <w:r w:rsidRPr="00B51F99">
        <w:rPr>
          <w:i/>
          <w:sz w:val="22"/>
          <w:szCs w:val="22"/>
          <w:shd w:val="clear" w:color="auto" w:fill="FFFFFF"/>
        </w:rPr>
        <w:t>Art. 484-A.  O contrato de trabalho poderá ser extinto por acordo entre empregado e empregador, caso em que serão devidas as seguintes verbas trabalhistas: </w:t>
      </w:r>
    </w:p>
    <w:p w:rsidR="00D55283" w:rsidRPr="00B51F99" w:rsidP="00D55283" w14:paraId="1927F092" w14:textId="77777777">
      <w:pPr>
        <w:pStyle w:val="texto20"/>
        <w:spacing w:before="300" w:beforeAutospacing="0" w:after="300" w:afterAutospacing="0"/>
        <w:ind w:left="2268" w:firstLine="567"/>
        <w:jc w:val="both"/>
        <w:rPr>
          <w:i/>
          <w:sz w:val="22"/>
          <w:szCs w:val="22"/>
        </w:rPr>
      </w:pPr>
      <w:r w:rsidRPr="00B51F99">
        <w:rPr>
          <w:i/>
          <w:sz w:val="22"/>
          <w:szCs w:val="22"/>
        </w:rPr>
        <w:t xml:space="preserve">I - por metade:      </w:t>
      </w:r>
    </w:p>
    <w:p w:rsidR="00D55283" w:rsidRPr="00B51F99" w:rsidP="00D55283" w14:paraId="2C44D740" w14:textId="77777777">
      <w:pPr>
        <w:pStyle w:val="texto20"/>
        <w:spacing w:before="300" w:beforeAutospacing="0" w:after="300" w:afterAutospacing="0"/>
        <w:ind w:left="2268" w:firstLine="567"/>
        <w:jc w:val="both"/>
        <w:rPr>
          <w:i/>
          <w:sz w:val="22"/>
          <w:szCs w:val="22"/>
        </w:rPr>
      </w:pPr>
      <w:r w:rsidRPr="00B51F99">
        <w:rPr>
          <w:i/>
          <w:sz w:val="22"/>
          <w:szCs w:val="22"/>
        </w:rPr>
        <w:t>a) o aviso prévio, se indenizado; e       </w:t>
      </w:r>
    </w:p>
    <w:p w:rsidR="00D55283" w:rsidRPr="00B51F99" w:rsidP="00D55283" w14:paraId="68026D4B" w14:textId="77777777">
      <w:pPr>
        <w:pStyle w:val="texto20"/>
        <w:spacing w:before="300" w:beforeAutospacing="0" w:after="300" w:afterAutospacing="0"/>
        <w:ind w:left="2268" w:firstLine="567"/>
        <w:jc w:val="both"/>
        <w:rPr>
          <w:i/>
          <w:sz w:val="22"/>
          <w:szCs w:val="22"/>
        </w:rPr>
      </w:pPr>
      <w:r w:rsidRPr="00B51F99">
        <w:rPr>
          <w:i/>
          <w:sz w:val="22"/>
          <w:szCs w:val="22"/>
        </w:rPr>
        <w:t>b) a indenização sobre o saldo do Fundo de Garantia do Tempo de Serviço, prevista no </w:t>
      </w:r>
      <w:hyperlink r:id="rId4" w:anchor="art18" w:history="1">
        <w:r w:rsidRPr="00B51F99">
          <w:rPr>
            <w:rStyle w:val="Hyperlink"/>
            <w:i/>
            <w:color w:val="auto"/>
            <w:sz w:val="22"/>
            <w:szCs w:val="22"/>
            <w:u w:val="none"/>
          </w:rPr>
          <w:t>§ 1</w:t>
        </w:r>
        <w:r w:rsidRPr="00B51F99">
          <w:rPr>
            <w:rStyle w:val="Hyperlink"/>
            <w:i/>
            <w:color w:val="auto"/>
            <w:sz w:val="22"/>
            <w:szCs w:val="22"/>
            <w:u w:val="none"/>
            <w:vertAlign w:val="superscript"/>
          </w:rPr>
          <w:t>o</w:t>
        </w:r>
        <w:r w:rsidRPr="00B51F99">
          <w:rPr>
            <w:rStyle w:val="Hyperlink"/>
            <w:i/>
            <w:color w:val="auto"/>
            <w:sz w:val="22"/>
            <w:szCs w:val="22"/>
            <w:u w:val="none"/>
          </w:rPr>
          <w:t> do art. 18 da Lei n</w:t>
        </w:r>
        <w:r w:rsidRPr="00B51F99">
          <w:rPr>
            <w:rStyle w:val="Hyperlink"/>
            <w:i/>
            <w:color w:val="auto"/>
            <w:sz w:val="22"/>
            <w:szCs w:val="22"/>
            <w:u w:val="none"/>
            <w:vertAlign w:val="superscript"/>
          </w:rPr>
          <w:t>o</w:t>
        </w:r>
        <w:r w:rsidRPr="00B51F99">
          <w:rPr>
            <w:rStyle w:val="Hyperlink"/>
            <w:i/>
            <w:color w:val="auto"/>
            <w:sz w:val="22"/>
            <w:szCs w:val="22"/>
            <w:u w:val="none"/>
          </w:rPr>
          <w:t> 8.036, de 11 de maio de 1990</w:t>
        </w:r>
      </w:hyperlink>
      <w:r w:rsidRPr="00B51F99">
        <w:rPr>
          <w:i/>
          <w:sz w:val="22"/>
          <w:szCs w:val="22"/>
        </w:rPr>
        <w:t xml:space="preserve">;                </w:t>
      </w:r>
    </w:p>
    <w:p w:rsidR="00D55283" w:rsidRPr="00B51F99" w:rsidP="00D55283" w14:paraId="4027B52E" w14:textId="77777777">
      <w:pPr>
        <w:pStyle w:val="texto20"/>
        <w:spacing w:before="300" w:beforeAutospacing="0" w:after="300" w:afterAutospacing="0"/>
        <w:ind w:left="2268" w:firstLine="567"/>
        <w:jc w:val="both"/>
        <w:rPr>
          <w:i/>
          <w:sz w:val="22"/>
          <w:szCs w:val="22"/>
        </w:rPr>
      </w:pPr>
      <w:r w:rsidRPr="00B51F99">
        <w:rPr>
          <w:i/>
          <w:sz w:val="22"/>
          <w:szCs w:val="22"/>
        </w:rPr>
        <w:t xml:space="preserve">II - na integralidade, as demais verbas trabalhistas.                   </w:t>
      </w:r>
    </w:p>
    <w:p w:rsidR="00D55283" w:rsidRPr="00B51F99" w:rsidP="00D55283" w14:paraId="4E5E84DF" w14:textId="77777777">
      <w:pPr>
        <w:pStyle w:val="texto20"/>
        <w:spacing w:before="300" w:beforeAutospacing="0" w:after="300" w:afterAutospacing="0"/>
        <w:ind w:left="2268" w:firstLine="567"/>
        <w:jc w:val="both"/>
        <w:rPr>
          <w:i/>
          <w:sz w:val="22"/>
          <w:szCs w:val="22"/>
        </w:rPr>
      </w:pPr>
      <w:r w:rsidRPr="00B51F99">
        <w:rPr>
          <w:i/>
          <w:sz w:val="22"/>
          <w:szCs w:val="22"/>
        </w:rPr>
        <w:t>§ 1</w:t>
      </w:r>
      <w:r w:rsidRPr="00B51F99">
        <w:rPr>
          <w:i/>
          <w:sz w:val="22"/>
          <w:szCs w:val="22"/>
          <w:vertAlign w:val="superscript"/>
        </w:rPr>
        <w:t>o</w:t>
      </w:r>
      <w:r w:rsidRPr="00B51F99">
        <w:rPr>
          <w:i/>
          <w:sz w:val="22"/>
          <w:szCs w:val="22"/>
        </w:rPr>
        <w:t>  A</w:t>
      </w:r>
      <w:r w:rsidRPr="00B51F99">
        <w:rPr>
          <w:i/>
          <w:sz w:val="22"/>
          <w:szCs w:val="22"/>
        </w:rPr>
        <w:t xml:space="preserve"> extinção do contrato prevista no </w:t>
      </w:r>
      <w:r w:rsidRPr="00B51F99">
        <w:rPr>
          <w:b/>
          <w:bCs/>
          <w:i/>
          <w:sz w:val="22"/>
          <w:szCs w:val="22"/>
        </w:rPr>
        <w:t>caput</w:t>
      </w:r>
      <w:r w:rsidRPr="00B51F99">
        <w:rPr>
          <w:i/>
          <w:sz w:val="22"/>
          <w:szCs w:val="22"/>
        </w:rPr>
        <w:t> deste artigo permite a movimentação da conta vinculada do trabalhador no Fundo de Garantia do Tempo de Serviço na forma do </w:t>
      </w:r>
      <w:hyperlink r:id="rId4" w:anchor="art20" w:history="1">
        <w:r w:rsidRPr="00B51F99">
          <w:rPr>
            <w:rStyle w:val="Hyperlink"/>
            <w:i/>
            <w:color w:val="auto"/>
            <w:sz w:val="22"/>
            <w:szCs w:val="22"/>
            <w:u w:val="none"/>
          </w:rPr>
          <w:t>inciso I-A do art. 20 da Lei no 8.036, de 11 de maio de 1990,</w:t>
        </w:r>
      </w:hyperlink>
      <w:r w:rsidRPr="00B51F99">
        <w:rPr>
          <w:i/>
          <w:sz w:val="22"/>
          <w:szCs w:val="22"/>
        </w:rPr>
        <w:t xml:space="preserve"> limitada até 80% (oitenta por cento) do valor dos depósitos.                </w:t>
      </w:r>
    </w:p>
    <w:p w:rsidR="00D55283" w:rsidRPr="00B51F99" w:rsidP="00D55283" w14:paraId="1B1C2CB7" w14:textId="77777777">
      <w:pPr>
        <w:pStyle w:val="texto20"/>
        <w:spacing w:before="300" w:beforeAutospacing="0" w:after="300" w:afterAutospacing="0"/>
        <w:ind w:left="2268" w:firstLine="567"/>
        <w:jc w:val="both"/>
        <w:rPr>
          <w:i/>
          <w:sz w:val="22"/>
          <w:szCs w:val="22"/>
        </w:rPr>
      </w:pPr>
      <w:r w:rsidRPr="00B51F99">
        <w:rPr>
          <w:i/>
          <w:sz w:val="22"/>
          <w:szCs w:val="22"/>
        </w:rPr>
        <w:t>§ 2</w:t>
      </w:r>
      <w:r w:rsidRPr="00B51F99">
        <w:rPr>
          <w:i/>
          <w:sz w:val="22"/>
          <w:szCs w:val="22"/>
          <w:vertAlign w:val="superscript"/>
        </w:rPr>
        <w:t>o</w:t>
      </w:r>
      <w:r w:rsidRPr="00B51F99">
        <w:rPr>
          <w:i/>
          <w:sz w:val="22"/>
          <w:szCs w:val="22"/>
        </w:rPr>
        <w:t>  A</w:t>
      </w:r>
      <w:r w:rsidRPr="00B51F99">
        <w:rPr>
          <w:i/>
          <w:sz w:val="22"/>
          <w:szCs w:val="22"/>
        </w:rPr>
        <w:t xml:space="preserve"> extinção do contrato por acordo prevista no </w:t>
      </w:r>
      <w:r w:rsidRPr="00B51F99">
        <w:rPr>
          <w:b/>
          <w:bCs/>
          <w:i/>
          <w:sz w:val="22"/>
          <w:szCs w:val="22"/>
        </w:rPr>
        <w:t>caput</w:t>
      </w:r>
      <w:r w:rsidRPr="00B51F99">
        <w:rPr>
          <w:i/>
          <w:sz w:val="22"/>
          <w:szCs w:val="22"/>
        </w:rPr>
        <w:t xml:space="preserve"> deste artigo não autoriza o ingresso no Programa de Seguro-Desemprego.             </w:t>
      </w:r>
    </w:p>
    <w:p w:rsidR="00D55283" w:rsidP="00D55283" w14:paraId="22EC29D2" w14:textId="77777777">
      <w:pPr>
        <w:pStyle w:val="BodyText"/>
        <w:spacing w:before="240" w:after="0" w:line="240" w:lineRule="auto"/>
        <w:ind w:firstLine="720"/>
        <w:jc w:val="both"/>
        <w:rPr>
          <w:color w:val="000000"/>
          <w:sz w:val="24"/>
          <w:szCs w:val="24"/>
        </w:rPr>
      </w:pPr>
    </w:p>
    <w:p w:rsidR="00D55283" w:rsidP="00D55283" w14:paraId="590D1FC0" w14:textId="77777777">
      <w:pPr>
        <w:pStyle w:val="BodyText"/>
        <w:spacing w:before="240"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Nesse caso, o servidor receberia o aviso prévio pela metade, a indenização sobre o saldo do FGTS e demais verbas trabalhistas.</w:t>
      </w:r>
    </w:p>
    <w:p w:rsidR="00D55283" w:rsidP="00D55283" w14:paraId="6787E702" w14:textId="3F775277">
      <w:pPr>
        <w:pStyle w:val="BodyText"/>
        <w:spacing w:before="240"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nova redação também conflita com o artigo 13 que prevê que: “Art.13. A movimentação na conta vinculada do empregado público do Município de Mogi Mirim no FGTS não se insere nas hipóteses da presente Lei, devendo seguir as regras próprias contidas </w:t>
      </w:r>
      <w:r>
        <w:rPr>
          <w:color w:val="000000"/>
          <w:sz w:val="24"/>
          <w:szCs w:val="24"/>
        </w:rPr>
        <w:t>na Lei Federal n°8.036, de 11 de maio de 1990, que dispõe sobre o Fundo de Garantia do Tempo de Serviço (FGTS).</w:t>
      </w:r>
    </w:p>
    <w:p w:rsidR="00D55283" w:rsidP="00D55283" w14:paraId="63B624E5" w14:textId="4D60B2E9">
      <w:pPr>
        <w:pStyle w:val="BodyText"/>
        <w:spacing w:before="240" w:after="0" w:line="240" w:lineRule="auto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Logo, a alteração realizada não apenas modifica a natureza do PDV, mas impõe à Administração Pública a responsabilidade de arcar com verbas rescisórias adicionais, que antes não estavam previstas no projeto original, impa</w:t>
      </w:r>
      <w:r w:rsidR="00701397">
        <w:rPr>
          <w:color w:val="000000"/>
          <w:sz w:val="24"/>
          <w:szCs w:val="24"/>
        </w:rPr>
        <w:t>cta</w:t>
      </w:r>
      <w:r>
        <w:rPr>
          <w:color w:val="000000"/>
          <w:sz w:val="24"/>
          <w:szCs w:val="24"/>
        </w:rPr>
        <w:t>ndo diretamente nas finanças públicas.</w:t>
      </w:r>
    </w:p>
    <w:p w:rsidR="00D55283" w:rsidP="00D55283" w14:paraId="5FA3837C" w14:textId="77777777">
      <w:pPr>
        <w:pStyle w:val="BodyText"/>
        <w:spacing w:line="240" w:lineRule="auto"/>
        <w:jc w:val="both"/>
        <w:rPr>
          <w:rStyle w:val="Strong"/>
          <w:bCs w:val="0"/>
          <w:color w:val="404040"/>
        </w:rPr>
      </w:pPr>
    </w:p>
    <w:p w:rsidR="002F0B15" w:rsidRPr="002F0B15" w:rsidP="00D55283" w14:paraId="51F2BDF7" w14:textId="19ADE767">
      <w:pPr>
        <w:pStyle w:val="BodyText"/>
        <w:spacing w:line="240" w:lineRule="auto"/>
        <w:ind w:firstLine="720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  <w:lang w:eastAsia="ar-SA"/>
        </w:rPr>
        <w:t>Diante do exposto, a</w:t>
      </w:r>
      <w:r w:rsidRPr="002F0B15">
        <w:rPr>
          <w:bCs/>
          <w:color w:val="000000"/>
          <w:sz w:val="24"/>
          <w:szCs w:val="24"/>
          <w:lang w:eastAsia="ar-SA"/>
        </w:rPr>
        <w:t xml:space="preserve">pós uma minuciosa análise da matéria em questão, verificamos que os requisitos de constitucionalidade foram integralmente atendidos, estando em conformidade com os preceitos legais necessários para sua continuidade. </w:t>
      </w:r>
    </w:p>
    <w:p w:rsidR="002F0B15" w:rsidP="002F0B15" w14:paraId="686E9DB8" w14:textId="77777777">
      <w:pPr>
        <w:pStyle w:val="BodyText"/>
        <w:spacing w:line="240" w:lineRule="auto"/>
        <w:jc w:val="both"/>
        <w:rPr>
          <w:bCs/>
          <w:color w:val="000000"/>
          <w:sz w:val="24"/>
          <w:szCs w:val="24"/>
          <w:lang w:eastAsia="ar-SA"/>
        </w:rPr>
      </w:pPr>
      <w:r w:rsidRPr="002F0B15">
        <w:rPr>
          <w:bCs/>
          <w:color w:val="000000"/>
          <w:sz w:val="24"/>
          <w:szCs w:val="24"/>
          <w:lang w:eastAsia="ar-SA"/>
        </w:rPr>
        <w:tab/>
        <w:t>É relevante destacar que o trâmite da propositura está em estrita conformidade com os termos estabelecidos na Resolução n.º 276, datada de 09 de novembro de 2010 (Regimento Interno). Sendo assim, o veto segue o Regimento desta Casa de Leis e os demais dispositivos legais aplicáveis. Quanto ao aspecto constitucional, legal e regimental, não identificamos quaisquer conflitos com o ordenamento jurídico vigente, não havendo indícios de inconstitucionalidade.</w:t>
      </w:r>
    </w:p>
    <w:p w:rsidR="002F0B15" w:rsidRPr="002F0B15" w:rsidP="002F0B15" w14:paraId="195B48FC" w14:textId="77777777">
      <w:pPr>
        <w:pStyle w:val="BodyText"/>
        <w:jc w:val="both"/>
        <w:rPr>
          <w:sz w:val="24"/>
          <w:szCs w:val="24"/>
        </w:rPr>
      </w:pPr>
    </w:p>
    <w:p w:rsidR="00F74441" w:rsidRPr="002F0B15" w:rsidP="003D6D21" w14:paraId="0089363A" w14:textId="5EA630A2">
      <w:pPr>
        <w:pStyle w:val="Heading3"/>
        <w:spacing w:line="360" w:lineRule="auto"/>
        <w:rPr>
          <w:color w:val="auto"/>
          <w:sz w:val="24"/>
          <w:szCs w:val="24"/>
        </w:rPr>
      </w:pPr>
      <w:r>
        <w:rPr>
          <w:rStyle w:val="Strong"/>
          <w:b/>
          <w:bCs w:val="0"/>
          <w:color w:val="auto"/>
          <w:sz w:val="24"/>
          <w:szCs w:val="24"/>
        </w:rPr>
        <w:t>III</w:t>
      </w:r>
      <w:r w:rsidRPr="002F0B15" w:rsidR="002F0B15">
        <w:rPr>
          <w:rStyle w:val="Strong"/>
          <w:b/>
          <w:bCs w:val="0"/>
          <w:color w:val="auto"/>
          <w:sz w:val="24"/>
          <w:szCs w:val="24"/>
        </w:rPr>
        <w:t xml:space="preserve"> - DECISÃO DO RELATOR</w:t>
      </w:r>
    </w:p>
    <w:p w:rsidR="002F0B15" w:rsidRPr="002F0B15" w:rsidP="002F0B15" w14:paraId="3D8F35DD" w14:textId="11AD5337">
      <w:pPr>
        <w:pStyle w:val="BodyText"/>
        <w:shd w:val="clear" w:color="auto" w:fill="FFFFFF"/>
        <w:spacing w:before="240" w:after="0" w:line="240" w:lineRule="auto"/>
        <w:jc w:val="both"/>
        <w:rPr>
          <w:sz w:val="24"/>
          <w:szCs w:val="24"/>
        </w:rPr>
      </w:pPr>
      <w:r w:rsidRPr="002F0B15">
        <w:tab/>
      </w:r>
      <w:r w:rsidRPr="002F0B15">
        <w:rPr>
          <w:rFonts w:eastAsia="Arial"/>
          <w:sz w:val="24"/>
          <w:szCs w:val="24"/>
        </w:rPr>
        <w:t>Dessa forma, esta Relatoria, após meticulosa análise, chega à conclusão de que a presente propositura não revela quaisquer vícios de inconstitucionalidade que possam prejudicar a sua tramitação. Baseado nessa análise minuciosa, é com satisfação que este parecer é apresentado. A ausência de impedimentos de ordem constitucional e legal confirma a sua plena ade</w:t>
      </w:r>
      <w:r w:rsidR="00701397">
        <w:rPr>
          <w:rFonts w:eastAsia="Arial"/>
          <w:sz w:val="24"/>
          <w:szCs w:val="24"/>
        </w:rPr>
        <w:t>quação ao ordenamento jurídico</w:t>
      </w:r>
      <w:r w:rsidRPr="002F0B15">
        <w:rPr>
          <w:rFonts w:eastAsia="Arial"/>
          <w:sz w:val="24"/>
          <w:szCs w:val="24"/>
        </w:rPr>
        <w:t xml:space="preserve">. Portanto, a recomendação é de que este Plenário aprecie a presente propositura com vistas ao benefício </w:t>
      </w:r>
      <w:r w:rsidR="00701397">
        <w:rPr>
          <w:rFonts w:eastAsia="Arial"/>
          <w:sz w:val="24"/>
          <w:szCs w:val="24"/>
        </w:rPr>
        <w:t>dos servidores públicos</w:t>
      </w:r>
      <w:r w:rsidRPr="002F0B15">
        <w:rPr>
          <w:rFonts w:eastAsia="Arial"/>
          <w:sz w:val="24"/>
          <w:szCs w:val="24"/>
        </w:rPr>
        <w:t>.</w:t>
      </w:r>
    </w:p>
    <w:p w:rsidR="00F74441" w:rsidRPr="003D6D21" w:rsidP="002F0B15" w14:paraId="64715406" w14:textId="684F1521">
      <w:pPr>
        <w:pStyle w:val="NormalWeb"/>
        <w:spacing w:line="360" w:lineRule="auto"/>
        <w:jc w:val="both"/>
      </w:pPr>
    </w:p>
    <w:p w:rsidR="00F74441" w:rsidRPr="002F0B15" w:rsidP="003D6D21" w14:paraId="6AB168D8" w14:textId="40F62D22">
      <w:pPr>
        <w:pStyle w:val="NormalWeb"/>
        <w:spacing w:line="360" w:lineRule="auto"/>
        <w:jc w:val="center"/>
      </w:pPr>
      <w:r w:rsidRPr="002F0B15">
        <w:rPr>
          <w:rStyle w:val="Strong"/>
        </w:rPr>
        <w:t>SALA DAS SESSÕES</w:t>
      </w:r>
      <w:r w:rsidRPr="002F0B15" w:rsidR="00603CE4">
        <w:rPr>
          <w:rStyle w:val="Strong"/>
        </w:rPr>
        <w:t xml:space="preserve"> “VEREADOR SANT</w:t>
      </w:r>
      <w:r w:rsidR="002F0B15">
        <w:rPr>
          <w:rStyle w:val="Strong"/>
        </w:rPr>
        <w:t>O RÓTTOLI”, em 31</w:t>
      </w:r>
      <w:r w:rsidRPr="002F0B15" w:rsidR="00603CE4">
        <w:rPr>
          <w:rStyle w:val="Strong"/>
        </w:rPr>
        <w:t xml:space="preserve"> de março</w:t>
      </w:r>
      <w:r w:rsidRPr="002F0B15">
        <w:rPr>
          <w:rStyle w:val="Strong"/>
        </w:rPr>
        <w:t xml:space="preserve"> de 2025.</w:t>
      </w:r>
    </w:p>
    <w:p w:rsidR="003D6D21" w:rsidP="00F54B63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3D6D21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74441" w:rsidRPr="003D6D21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P="003D6D21" w14:paraId="4D47B5CD" w14:textId="32DC85A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Presidente/</w:t>
      </w:r>
      <w:r w:rsidRPr="003D6D21">
        <w:rPr>
          <w:sz w:val="24"/>
          <w:szCs w:val="24"/>
        </w:rPr>
        <w:t>Relator</w:t>
      </w:r>
    </w:p>
    <w:p w:rsidR="00F13148" w:rsidRPr="003D6D21" w:rsidP="00F54B63" w14:paraId="45DD80A7" w14:textId="77777777">
      <w:pPr>
        <w:spacing w:line="360" w:lineRule="auto"/>
        <w:rPr>
          <w:sz w:val="24"/>
          <w:szCs w:val="24"/>
        </w:rPr>
      </w:pPr>
    </w:p>
    <w:p w:rsidR="00F74441" w:rsidRPr="003D6D21" w:rsidP="003D6D21" w14:paraId="0B276300" w14:textId="3CEA833B">
      <w:pPr>
        <w:spacing w:line="360" w:lineRule="auto"/>
        <w:rPr>
          <w:sz w:val="24"/>
          <w:szCs w:val="24"/>
        </w:rPr>
      </w:pPr>
    </w:p>
    <w:p w:rsidR="00603CE4" w:rsidP="00DC32F0" w14:paraId="17A6705F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603CE4" w:rsidP="00DC32F0" w14:paraId="6731B9C3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p w:rsidR="007F6526" w:rsidP="00F13148" w14:paraId="50FFCE73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7F6526" w:rsidP="00F13148" w14:paraId="00A004DF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F13148" w:rsidRPr="00F13148" w:rsidP="00F13148" w14:paraId="2BB5648D" w14:textId="48E4FC4D">
      <w:pPr>
        <w:spacing w:line="380" w:lineRule="atLeast"/>
        <w:jc w:val="both"/>
        <w:rPr>
          <w:rFonts w:ascii="Palatino Linotype" w:hAnsi="Palatino Linotype" w:cs="Arial"/>
          <w:b/>
          <w:color w:val="FF0000"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</w:t>
      </w:r>
      <w:r w:rsidRPr="00BA1AE5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>DA COMISSÃO DE JUSTIÇA E</w:t>
      </w:r>
      <w:r w:rsidR="008E1495">
        <w:rPr>
          <w:rFonts w:ascii="Palatino Linotype" w:hAnsi="Palatino Linotype" w:cs="Arial"/>
          <w:b/>
          <w:sz w:val="24"/>
          <w:szCs w:val="24"/>
        </w:rPr>
        <w:t xml:space="preserve"> REDAÇÃO </w:t>
      </w:r>
      <w:r w:rsidR="007F6526">
        <w:rPr>
          <w:rFonts w:ascii="Palatino Linotype" w:hAnsi="Palatino Linotype" w:cs="Arial"/>
          <w:b/>
          <w:sz w:val="24"/>
          <w:szCs w:val="24"/>
        </w:rPr>
        <w:t>REFERENTE AO VETO PARCIAL SOBRE O</w:t>
      </w:r>
      <w:r w:rsidR="008E1495">
        <w:rPr>
          <w:rFonts w:ascii="Palatino Linotype" w:hAnsi="Palatino Linotype" w:cs="Arial"/>
          <w:b/>
          <w:sz w:val="24"/>
          <w:szCs w:val="24"/>
        </w:rPr>
        <w:t xml:space="preserve"> PROJETO DE LEI N° 11</w:t>
      </w:r>
      <w:r>
        <w:rPr>
          <w:rFonts w:ascii="Palatino Linotype" w:hAnsi="Palatino Linotype" w:cs="Arial"/>
          <w:b/>
          <w:sz w:val="24"/>
          <w:szCs w:val="24"/>
        </w:rPr>
        <w:t xml:space="preserve"> DE 2025 DE AUTORIA </w:t>
      </w:r>
      <w:r w:rsidR="00DC32F0">
        <w:rPr>
          <w:rFonts w:ascii="Palatino Linotype" w:hAnsi="Palatino Linotype" w:cs="Arial"/>
          <w:b/>
          <w:sz w:val="24"/>
          <w:szCs w:val="24"/>
        </w:rPr>
        <w:t xml:space="preserve">DO </w:t>
      </w:r>
      <w:r w:rsidR="008E1495">
        <w:rPr>
          <w:rFonts w:ascii="Palatino Linotype" w:hAnsi="Palatino Linotype" w:cs="Arial"/>
          <w:b/>
          <w:sz w:val="24"/>
          <w:szCs w:val="24"/>
        </w:rPr>
        <w:t>PREFEITO MUNICIPAL PAULO DE OLIVEIRA E SILVA</w:t>
      </w:r>
      <w:r w:rsidRPr="00DC32F0">
        <w:rPr>
          <w:rFonts w:ascii="Palatino Linotype" w:hAnsi="Palatino Linotype" w:cs="Arial"/>
          <w:b/>
          <w:sz w:val="24"/>
          <w:szCs w:val="24"/>
        </w:rPr>
        <w:t>.</w:t>
      </w:r>
    </w:p>
    <w:p w:rsidR="00F13148" w:rsidRPr="00BA1AE5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BA1AE5" w:rsidP="00F13148" w14:paraId="58287EA8" w14:textId="3EEE1BCC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Seguindo o Voto exarado pelo Relator e</w:t>
      </w:r>
      <w:r>
        <w:rPr>
          <w:rFonts w:ascii="Palatino Linotype" w:hAnsi="Palatino Linotype" w:cs="Arial"/>
          <w:sz w:val="24"/>
          <w:szCs w:val="24"/>
        </w:rPr>
        <w:t xml:space="preserve"> conforme determina o artigo 35 </w:t>
      </w:r>
      <w:r w:rsidRPr="00BA1AE5">
        <w:rPr>
          <w:rFonts w:ascii="Palatino Linotype" w:hAnsi="Palatino Linotype" w:cs="Arial"/>
          <w:sz w:val="24"/>
          <w:szCs w:val="24"/>
        </w:rPr>
        <w:t>a Comissão P</w:t>
      </w:r>
      <w:r>
        <w:rPr>
          <w:rFonts w:ascii="Palatino Linotype" w:hAnsi="Palatino Linotype" w:cs="Arial"/>
          <w:sz w:val="24"/>
          <w:szCs w:val="24"/>
        </w:rPr>
        <w:t>ermanente de Justiça e Redação formaliza</w:t>
      </w:r>
      <w:r w:rsidRPr="00BA1AE5">
        <w:rPr>
          <w:rFonts w:ascii="Palatino Linotype" w:hAnsi="Palatino Linotype" w:cs="Arial"/>
          <w:sz w:val="24"/>
          <w:szCs w:val="24"/>
        </w:rPr>
        <w:t xml:space="preserve"> o presente PARECER F</w:t>
      </w:r>
      <w:r w:rsidR="007F6526">
        <w:rPr>
          <w:rFonts w:ascii="Palatino Linotype" w:hAnsi="Palatino Linotype" w:cs="Arial"/>
          <w:sz w:val="24"/>
          <w:szCs w:val="24"/>
        </w:rPr>
        <w:t>AVORÁVEL à apreciação do veto parcial ao</w:t>
      </w:r>
      <w:r w:rsidR="005B5870">
        <w:rPr>
          <w:rFonts w:ascii="Palatino Linotype" w:hAnsi="Palatino Linotype" w:cs="Arial"/>
          <w:sz w:val="24"/>
          <w:szCs w:val="24"/>
        </w:rPr>
        <w:t xml:space="preserve"> Projeto de Lei n° 11</w:t>
      </w:r>
      <w:r w:rsidRPr="00BA1AE5">
        <w:rPr>
          <w:rFonts w:ascii="Palatino Linotype" w:hAnsi="Palatino Linotype" w:cs="Arial"/>
          <w:sz w:val="24"/>
          <w:szCs w:val="24"/>
        </w:rPr>
        <w:t xml:space="preserve"> de 20</w:t>
      </w:r>
      <w:r>
        <w:rPr>
          <w:rFonts w:ascii="Palatino Linotype" w:hAnsi="Palatino Linotype" w:cs="Arial"/>
          <w:sz w:val="24"/>
          <w:szCs w:val="24"/>
        </w:rPr>
        <w:t>25</w:t>
      </w:r>
      <w:r w:rsidRPr="00BA1AE5">
        <w:rPr>
          <w:rFonts w:ascii="Palatino Linotype" w:hAnsi="Palatino Linotype" w:cs="Arial"/>
          <w:sz w:val="24"/>
          <w:szCs w:val="24"/>
        </w:rPr>
        <w:t>.</w:t>
      </w:r>
    </w:p>
    <w:p w:rsidR="00F13148" w:rsidRPr="00BA1AE5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F13148" w:rsidP="00F13148" w14:paraId="3FFD6748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77700D3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20B7216A" w14:textId="42739CB1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</w:t>
      </w:r>
      <w:r w:rsidR="007F6526">
        <w:rPr>
          <w:rFonts w:ascii="Palatino Linotype" w:hAnsi="Palatino Linotype" w:cs="Arial"/>
          <w:bCs/>
          <w:sz w:val="24"/>
          <w:szCs w:val="24"/>
        </w:rPr>
        <w:t>Comissões, 31</w:t>
      </w:r>
      <w:r w:rsidR="00603CE4">
        <w:rPr>
          <w:rFonts w:ascii="Palatino Linotype" w:hAnsi="Palatino Linotype" w:cs="Arial"/>
          <w:bCs/>
          <w:sz w:val="24"/>
          <w:szCs w:val="24"/>
        </w:rPr>
        <w:t xml:space="preserve"> de março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F13148" w:rsidRPr="00BA1AE5" w:rsidP="00701397" w14:paraId="381FF975" w14:textId="77777777">
      <w:pPr>
        <w:spacing w:line="380" w:lineRule="atLeast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BA1AE5" w:rsidP="00F13148" w14:paraId="687175BA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6D763D9F" w14:textId="6AFAAB0B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3148" w:rsidRPr="00BA1AE5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19157D" w:rsidP="00F13148" w14:paraId="2D19F49E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Presidente/Relator</w:t>
      </w:r>
    </w:p>
    <w:p w:rsidR="00F13148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F13148" w14:paraId="7CC0B5F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0251102E" w14:textId="2D80B205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3148" w:rsidRPr="00BA1AE5" w:rsidP="00F13148" w14:paraId="7AE66CD4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>MANOEL EDUARDO PEREIRA DA CRUZ PALOMINO</w:t>
      </w:r>
    </w:p>
    <w:p w:rsidR="00F13148" w:rsidRPr="00BA1AE5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Vice-Presidente</w:t>
      </w:r>
    </w:p>
    <w:p w:rsidR="00F13148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603CE4" w:rsidP="00F13148" w14:paraId="7B2C04C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603CE4" w:rsidP="00603CE4" w14:paraId="45B8060F" w14:textId="3D3A2862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3148" w:rsidP="00F13148" w14:paraId="2D93895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F13148" w:rsidP="00F13148" w14:paraId="10091CF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Membro</w:t>
      </w:r>
    </w:p>
    <w:p w:rsidR="00603CE4" w:rsidP="00F13148" w14:paraId="35A2A8D5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F13148" w:rsidRPr="008C125D" w:rsidP="007F6526" w14:paraId="684EA24D" w14:textId="77777777">
      <w:pPr>
        <w:pStyle w:val="NormalWeb"/>
        <w:spacing w:before="0" w:beforeAutospacing="0" w:line="360" w:lineRule="auto"/>
        <w:jc w:val="both"/>
        <w:rPr>
          <w:color w:val="404040"/>
        </w:rPr>
      </w:pPr>
    </w:p>
    <w:sectPr w:rsidSect="00914ADC">
      <w:headerReference w:type="even" r:id="rId5"/>
      <w:headerReference w:type="default" r:id="rId6"/>
      <w:footerReference w:type="default" r:id="rId7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3353AFB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FD2743">
      <w:rPr>
        <w:rFonts w:ascii="Bookman Old Style" w:eastAsia="Arial" w:hAnsi="Bookman Old Style" w:cs="Arial"/>
        <w:b/>
        <w:color w:val="000000"/>
        <w:sz w:val="24"/>
        <w:szCs w:val="24"/>
      </w:rPr>
      <w:t>Gabinete do Vereador Wagner Ricardo Pereira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AB3"/>
    <w:rsid w:val="00021B2B"/>
    <w:rsid w:val="00026797"/>
    <w:rsid w:val="00037531"/>
    <w:rsid w:val="00041A2D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E49AD"/>
    <w:rsid w:val="000F1F6F"/>
    <w:rsid w:val="000F4933"/>
    <w:rsid w:val="00126AE5"/>
    <w:rsid w:val="0015590E"/>
    <w:rsid w:val="00173831"/>
    <w:rsid w:val="00177254"/>
    <w:rsid w:val="00181506"/>
    <w:rsid w:val="00187FC6"/>
    <w:rsid w:val="0019157D"/>
    <w:rsid w:val="00192536"/>
    <w:rsid w:val="001A23DA"/>
    <w:rsid w:val="001A3CE4"/>
    <w:rsid w:val="001B7303"/>
    <w:rsid w:val="0020165D"/>
    <w:rsid w:val="00213987"/>
    <w:rsid w:val="00227E2C"/>
    <w:rsid w:val="00234376"/>
    <w:rsid w:val="0027672A"/>
    <w:rsid w:val="00291486"/>
    <w:rsid w:val="00297379"/>
    <w:rsid w:val="002A2BD3"/>
    <w:rsid w:val="002B71AC"/>
    <w:rsid w:val="002F0B15"/>
    <w:rsid w:val="002F3157"/>
    <w:rsid w:val="003121C8"/>
    <w:rsid w:val="00314B47"/>
    <w:rsid w:val="00322469"/>
    <w:rsid w:val="00346786"/>
    <w:rsid w:val="00362E04"/>
    <w:rsid w:val="00371A69"/>
    <w:rsid w:val="0038129E"/>
    <w:rsid w:val="00381C00"/>
    <w:rsid w:val="003A5737"/>
    <w:rsid w:val="003A796B"/>
    <w:rsid w:val="003B1A59"/>
    <w:rsid w:val="003C6BCB"/>
    <w:rsid w:val="003D6D21"/>
    <w:rsid w:val="003F0B47"/>
    <w:rsid w:val="003F59C5"/>
    <w:rsid w:val="00405098"/>
    <w:rsid w:val="00446FA1"/>
    <w:rsid w:val="00456770"/>
    <w:rsid w:val="00464667"/>
    <w:rsid w:val="00497A43"/>
    <w:rsid w:val="004B6FDF"/>
    <w:rsid w:val="004D46DA"/>
    <w:rsid w:val="004E6092"/>
    <w:rsid w:val="005242B1"/>
    <w:rsid w:val="00543E03"/>
    <w:rsid w:val="005559D9"/>
    <w:rsid w:val="0055728D"/>
    <w:rsid w:val="00571662"/>
    <w:rsid w:val="0057515A"/>
    <w:rsid w:val="00590AA1"/>
    <w:rsid w:val="0059215B"/>
    <w:rsid w:val="005935BC"/>
    <w:rsid w:val="005A235E"/>
    <w:rsid w:val="005B27A9"/>
    <w:rsid w:val="005B5870"/>
    <w:rsid w:val="005B766F"/>
    <w:rsid w:val="005D21C6"/>
    <w:rsid w:val="005E491E"/>
    <w:rsid w:val="005F2654"/>
    <w:rsid w:val="005F4E55"/>
    <w:rsid w:val="005F54DA"/>
    <w:rsid w:val="005F6956"/>
    <w:rsid w:val="00603CE4"/>
    <w:rsid w:val="00613747"/>
    <w:rsid w:val="00620972"/>
    <w:rsid w:val="00655A35"/>
    <w:rsid w:val="006575C7"/>
    <w:rsid w:val="00657B9A"/>
    <w:rsid w:val="00681CCF"/>
    <w:rsid w:val="006834FE"/>
    <w:rsid w:val="006975B4"/>
    <w:rsid w:val="00697874"/>
    <w:rsid w:val="006A54A9"/>
    <w:rsid w:val="006A762A"/>
    <w:rsid w:val="006C2150"/>
    <w:rsid w:val="006D1946"/>
    <w:rsid w:val="006E3A0E"/>
    <w:rsid w:val="006F48DD"/>
    <w:rsid w:val="00701397"/>
    <w:rsid w:val="007038AD"/>
    <w:rsid w:val="00746224"/>
    <w:rsid w:val="00753ABE"/>
    <w:rsid w:val="007556D8"/>
    <w:rsid w:val="0078178E"/>
    <w:rsid w:val="00784CD4"/>
    <w:rsid w:val="007850B0"/>
    <w:rsid w:val="00785E1B"/>
    <w:rsid w:val="007A08D1"/>
    <w:rsid w:val="007B6058"/>
    <w:rsid w:val="007C6029"/>
    <w:rsid w:val="007E2CFA"/>
    <w:rsid w:val="007F6526"/>
    <w:rsid w:val="00804434"/>
    <w:rsid w:val="0081335D"/>
    <w:rsid w:val="00827313"/>
    <w:rsid w:val="00842408"/>
    <w:rsid w:val="00855DD2"/>
    <w:rsid w:val="00863D24"/>
    <w:rsid w:val="00864928"/>
    <w:rsid w:val="00881E60"/>
    <w:rsid w:val="008905C2"/>
    <w:rsid w:val="008A3797"/>
    <w:rsid w:val="008A537A"/>
    <w:rsid w:val="008C08C5"/>
    <w:rsid w:val="008C125D"/>
    <w:rsid w:val="008C4AA2"/>
    <w:rsid w:val="008E1495"/>
    <w:rsid w:val="00902EE1"/>
    <w:rsid w:val="009048A2"/>
    <w:rsid w:val="00904ADF"/>
    <w:rsid w:val="00914ADC"/>
    <w:rsid w:val="00920A3F"/>
    <w:rsid w:val="00925E1A"/>
    <w:rsid w:val="0098102A"/>
    <w:rsid w:val="00996280"/>
    <w:rsid w:val="009D56B8"/>
    <w:rsid w:val="009D6B7C"/>
    <w:rsid w:val="00A00E3E"/>
    <w:rsid w:val="00A030E7"/>
    <w:rsid w:val="00A12DD9"/>
    <w:rsid w:val="00A164DC"/>
    <w:rsid w:val="00A27446"/>
    <w:rsid w:val="00A479DE"/>
    <w:rsid w:val="00A672C0"/>
    <w:rsid w:val="00A67DE2"/>
    <w:rsid w:val="00A71DDA"/>
    <w:rsid w:val="00A92E38"/>
    <w:rsid w:val="00AB5A42"/>
    <w:rsid w:val="00AD2770"/>
    <w:rsid w:val="00AE5858"/>
    <w:rsid w:val="00AF0C05"/>
    <w:rsid w:val="00AF3296"/>
    <w:rsid w:val="00AF4AC7"/>
    <w:rsid w:val="00B51F99"/>
    <w:rsid w:val="00B57090"/>
    <w:rsid w:val="00BA1AE5"/>
    <w:rsid w:val="00BA48C7"/>
    <w:rsid w:val="00BD2CA7"/>
    <w:rsid w:val="00BE41D6"/>
    <w:rsid w:val="00BE6938"/>
    <w:rsid w:val="00BF2A6F"/>
    <w:rsid w:val="00C10154"/>
    <w:rsid w:val="00C74E3F"/>
    <w:rsid w:val="00C75973"/>
    <w:rsid w:val="00CA4280"/>
    <w:rsid w:val="00CA4349"/>
    <w:rsid w:val="00CC3E72"/>
    <w:rsid w:val="00CF288D"/>
    <w:rsid w:val="00D17E31"/>
    <w:rsid w:val="00D233F3"/>
    <w:rsid w:val="00D2616B"/>
    <w:rsid w:val="00D33D19"/>
    <w:rsid w:val="00D52DAE"/>
    <w:rsid w:val="00D543E6"/>
    <w:rsid w:val="00D55283"/>
    <w:rsid w:val="00D635A7"/>
    <w:rsid w:val="00D66197"/>
    <w:rsid w:val="00D735E2"/>
    <w:rsid w:val="00D80A2E"/>
    <w:rsid w:val="00D81BDB"/>
    <w:rsid w:val="00D9258F"/>
    <w:rsid w:val="00DA7AB4"/>
    <w:rsid w:val="00DB5081"/>
    <w:rsid w:val="00DC32F0"/>
    <w:rsid w:val="00DE2A9A"/>
    <w:rsid w:val="00DF605F"/>
    <w:rsid w:val="00E11ECC"/>
    <w:rsid w:val="00E17B64"/>
    <w:rsid w:val="00E3543A"/>
    <w:rsid w:val="00E457DF"/>
    <w:rsid w:val="00E57571"/>
    <w:rsid w:val="00E57668"/>
    <w:rsid w:val="00E7438B"/>
    <w:rsid w:val="00E81D6E"/>
    <w:rsid w:val="00EA0447"/>
    <w:rsid w:val="00EA375D"/>
    <w:rsid w:val="00EA4E83"/>
    <w:rsid w:val="00EB1570"/>
    <w:rsid w:val="00EB3C9A"/>
    <w:rsid w:val="00EC5677"/>
    <w:rsid w:val="00ED7D93"/>
    <w:rsid w:val="00EE457C"/>
    <w:rsid w:val="00EF4DE4"/>
    <w:rsid w:val="00EF630E"/>
    <w:rsid w:val="00F07B20"/>
    <w:rsid w:val="00F10F57"/>
    <w:rsid w:val="00F13148"/>
    <w:rsid w:val="00F21F60"/>
    <w:rsid w:val="00F304D4"/>
    <w:rsid w:val="00F42F8D"/>
    <w:rsid w:val="00F54B63"/>
    <w:rsid w:val="00F55E24"/>
    <w:rsid w:val="00F6470D"/>
    <w:rsid w:val="00F733EC"/>
    <w:rsid w:val="00F74441"/>
    <w:rsid w:val="00F83282"/>
    <w:rsid w:val="00F91A1F"/>
    <w:rsid w:val="00F921DB"/>
    <w:rsid w:val="00FA65BC"/>
    <w:rsid w:val="00FD2743"/>
    <w:rsid w:val="00FD367D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paragraph" w:customStyle="1" w:styleId="texto20">
    <w:name w:val="texto20"/>
    <w:basedOn w:val="Normal"/>
    <w:rsid w:val="00B51F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planalto.gov.br/ccivil_03/LEIS/L8036consol.htm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1085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9</cp:revision>
  <cp:lastPrinted>2025-02-18T14:53:00Z</cp:lastPrinted>
  <dcterms:created xsi:type="dcterms:W3CDTF">2025-03-28T18:57:00Z</dcterms:created>
  <dcterms:modified xsi:type="dcterms:W3CDTF">2025-03-31T12:25:00Z</dcterms:modified>
</cp:coreProperties>
</file>