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0E97" w:rsidRDefault="00000000" w:rsidP="004E0E97">
      <w:pPr>
        <w:ind w:left="384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4E0E97" w:rsidRPr="004E0E97" w:rsidRDefault="004E0E97" w:rsidP="004E0E97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30 DE 2025</w:t>
      </w:r>
    </w:p>
    <w:p w:rsidR="004E0E97" w:rsidRPr="004E0E97" w:rsidRDefault="004E0E97" w:rsidP="004E0E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E0E97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Poder Executivo a contratar operação de crédito com a Caixa Econômica Federal, com a garantia da União, e dá outras providências.</w:t>
      </w:r>
    </w:p>
    <w:p w:rsidR="004E0E97" w:rsidRPr="004E0E97" w:rsidRDefault="004E0E97" w:rsidP="004E0E9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0E97" w:rsidRPr="004E0E97" w:rsidRDefault="004E0E97" w:rsidP="004E0E9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4E0E97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4E0E97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4E0E97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4E0E97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4E0E97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4E0E97" w:rsidRPr="004E0E97" w:rsidRDefault="004E0E97" w:rsidP="004E0E9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1° Fica o Poder Executivo autorizado a contratar operação de crédito com a Caixa Econômica Federal, com a garantia da União, até o valor de R$ 95.000.000,00 (noventa e cinco milhões de reais), no âmbito do FINISA – Financiamento à Infraestrutura e ao Saneamento – Modalidade Apoio Financeiro - destinado à aplicação em Despesa de Capital, nos termos da Resolução CMN nº 4.995 de 2022 e suas alterações, destinados à aplicação em Despesas de Capital, observada a legislação vigente, em especial as disposições da Lei Complementar n° 101, de 04 de maio de 2000.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Fica o Poder Executivo autorizado a vincular, como contragarantia à garantia da União, à operação de crédito de que trata esta Lei, em caráter irrevogável e irretratável, a modo “pro solvendo”, as receitas discriminadas no § 4º do art. 167 da Constituição Federal, no que couber, bem como outras garantias admitidas em direito.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Os recursos provenientes da operação de crédito a que se refere esta Lei deverão ser consignados como receita no orçamento ou em créditos adicionais, nos termos do inciso II, § 1º, do art. 32, da Lei Complementar Federal nº 101/2000.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Os orçamentos ou os créditos adicionais deverão consignar as dotações necessárias às amortizações e aos pagamentos dos encargos anuais, relativos aos contratos de financiamento a que se refere o art. 1º desta Lei.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5º Fica o Chefe do Poder Executivo autorizado a abrir créditos adicionais nas seguintes classificações funcionais programáticas: 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Secretaria de Agricultura - 01.40.11.20.606.1002.1122 – Obras de Infraestrutura em Estradas Rurais 4.4.90.51.00 - Obras e Instalações - Fonte 07, Indicador - Obras Executadas nas Estradas Rurais, meta – 15km, Valor: R$ 1.000.000,00; 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Secretaria de Obras e Habitação Popular 01.46.11.15.451.1001.1006 – Obras de Infraestrutura Urbana - 4.4.90.51.00 - Obras e Instalações - Fonte 07, Valor: R$ 6.700.000,00; e 01.46.11.15.451.1001.1015 – Constr. </w:t>
      </w:r>
      <w:proofErr w:type="spellStart"/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Ampl</w:t>
      </w:r>
      <w:proofErr w:type="spellEnd"/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Reformas de Prédios Públicos 4.4.9.51.00 Obras e Instalações Fonte 7, Valor:- R$ 850.000,00; 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Secretaria de Planejamento Urbano - 01.47.11.15.451.1001.1126 – Projetos de Obras Públicas 4.4.90.39.00 - Outros Serviços de Terceiros – P.J., Fonte 01 e 07, Indicadores – Projeto do Teatro Municipal, meta - 1 unidade e Projeto do Paço Municipal, meta – 1 unidade, Valor: 1.300.000,00 para Fonte 07 e Valor: 100.000,00 para fonte 01. </w:t>
      </w:r>
    </w:p>
    <w:p w:rsidR="004E0E97" w:rsidRPr="004E0E97" w:rsidRDefault="004E0E97" w:rsidP="00836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créditos adicionais são destinados a fazer face aos pagamentos de obrigações decorrentes da operação de crédito ora autorizada, bem como a abrir por Decreto créditos especiais ou suplementares no orçamento vigente à época da contratação e/ou liberação dos recursos, até o limite fixado no art. 1º desta Lei, de modo a atender as receitas e despesas provenientes da operação a ser contratada e, caso necessário, promover alterações na Lei de Diretrizes Orçamentárias e Plano Plurianual vigentes.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Esta Lei entra em vigor na data de sua publicação.</w:t>
      </w:r>
    </w:p>
    <w:p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4 de abril de 2 025.</w:t>
      </w:r>
    </w:p>
    <w:p w:rsidR="004E0E97" w:rsidRPr="004E0E97" w:rsidRDefault="004E0E97" w:rsidP="004E0E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0E97" w:rsidRPr="004E0E97" w:rsidRDefault="004E0E97" w:rsidP="004E0E9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:rsidR="004E0E97" w:rsidRPr="004E0E97" w:rsidRDefault="004E0E97" w:rsidP="004E0E9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E0E97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4E0E97" w:rsidRPr="004E0E97" w:rsidRDefault="004E0E97" w:rsidP="004E0E97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E0E97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E0E9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4E0E97" w:rsidRPr="004E0E97" w:rsidRDefault="004E0E97" w:rsidP="004E0E97">
      <w:pPr>
        <w:rPr>
          <w:rFonts w:ascii="Times New Roman" w:eastAsia="MS Mincho" w:hAnsi="Times New Roman" w:cs="Times New Roman"/>
          <w:lang w:eastAsia="pt-BR"/>
        </w:rPr>
      </w:pPr>
    </w:p>
    <w:p w:rsidR="004E0E97" w:rsidRPr="004E0E97" w:rsidRDefault="004E0E97" w:rsidP="004E0E9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E0E9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30 de 2025</w:t>
      </w:r>
    </w:p>
    <w:p w:rsidR="004E0E97" w:rsidRPr="004E0E97" w:rsidRDefault="004E0E97" w:rsidP="004E0E9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E0E9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A62" w:rsidRDefault="00833A62">
      <w:r>
        <w:separator/>
      </w:r>
    </w:p>
  </w:endnote>
  <w:endnote w:type="continuationSeparator" w:id="0">
    <w:p w:rsidR="00833A62" w:rsidRDefault="0083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A62" w:rsidRDefault="00833A62">
      <w:r>
        <w:separator/>
      </w:r>
    </w:p>
  </w:footnote>
  <w:footnote w:type="continuationSeparator" w:id="0">
    <w:p w:rsidR="00833A62" w:rsidRDefault="0083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2169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E0E97"/>
    <w:rsid w:val="004F0784"/>
    <w:rsid w:val="004F1341"/>
    <w:rsid w:val="00520F7E"/>
    <w:rsid w:val="005755DE"/>
    <w:rsid w:val="00594412"/>
    <w:rsid w:val="005D4035"/>
    <w:rsid w:val="00697F7F"/>
    <w:rsid w:val="00700224"/>
    <w:rsid w:val="00833A62"/>
    <w:rsid w:val="0083666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523E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A39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545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2025-04-07T14:44:00Z</dcterms:modified>
</cp:coreProperties>
</file>