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 w:rsidP="00A8293C">
      <w:pPr>
        <w:rPr>
          <w:rFonts w:ascii="Calibri" w:hAnsi="Calibri" w:cs="Arial"/>
          <w:b/>
          <w:bCs/>
          <w:color w:val="000000"/>
          <w:sz w:val="24"/>
          <w:szCs w:val="24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</w:p>
    <w:p w:rsidR="008615FD" w:rsidRPr="00A77DA2">
      <w:pPr>
        <w:contextualSpacing/>
        <w:rPr>
          <w:sz w:val="24"/>
          <w:szCs w:val="24"/>
        </w:rPr>
      </w:pPr>
      <w:bookmarkStart w:id="0" w:name="docs-internal-guid-6dc14b50-7fff-3068-6d"/>
      <w:bookmarkEnd w:id="0"/>
      <w:r w:rsidRPr="00A77DA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="003B42B3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nº 37</w:t>
      </w:r>
      <w:r w:rsidRPr="00A77DA2" w:rsidR="00D87F1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52</w:t>
      </w:r>
      <w:r w:rsidRPr="00A77DA2" w:rsidR="00922054">
        <w:rPr>
          <w:rFonts w:ascii="Calibri" w:hAnsi="Calibri"/>
          <w:b/>
          <w:color w:val="000000"/>
          <w:sz w:val="24"/>
          <w:szCs w:val="24"/>
        </w:rPr>
        <w:t>/202</w:t>
      </w:r>
      <w:r>
        <w:rPr>
          <w:rFonts w:ascii="Calibri" w:hAnsi="Calibri"/>
          <w:b/>
          <w:color w:val="000000"/>
          <w:sz w:val="24"/>
          <w:szCs w:val="24"/>
        </w:rPr>
        <w:t>5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>rme determina</w:t>
      </w:r>
      <w:r w:rsidR="00B4421D">
        <w:rPr>
          <w:rFonts w:ascii="Calibri" w:hAnsi="Calibri"/>
          <w:color w:val="000000"/>
          <w:sz w:val="24"/>
          <w:szCs w:val="24"/>
        </w:rPr>
        <w:t>m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artigo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35 e 37 </w:t>
      </w:r>
      <w:r w:rsidRPr="00A77DA2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 as Comissões Permanentes de Justiça e Redação e de Finanças e Orçamento emitem o presente R</w:t>
      </w:r>
      <w:r w:rsidRPr="00A77DA2" w:rsidR="00A8293C">
        <w:rPr>
          <w:rFonts w:ascii="Calibri" w:hAnsi="Calibri"/>
          <w:color w:val="000000"/>
          <w:sz w:val="24"/>
          <w:szCs w:val="24"/>
        </w:rPr>
        <w:t>elatóri</w:t>
      </w:r>
      <w:r w:rsidR="003B42B3">
        <w:rPr>
          <w:rFonts w:ascii="Calibri" w:hAnsi="Calibri"/>
          <w:color w:val="000000"/>
          <w:sz w:val="24"/>
          <w:szCs w:val="24"/>
        </w:rPr>
        <w:t>o acerca do Projeto de Lei nº 37</w:t>
      </w:r>
      <w:r w:rsidRPr="00A77DA2" w:rsidR="00D87F12">
        <w:rPr>
          <w:rFonts w:ascii="Calibri" w:hAnsi="Calibri"/>
          <w:color w:val="000000"/>
          <w:sz w:val="24"/>
          <w:szCs w:val="24"/>
        </w:rPr>
        <w:t>/2025</w:t>
      </w:r>
      <w:r w:rsidR="00B4421D">
        <w:rPr>
          <w:rFonts w:ascii="Calibri" w:hAnsi="Calibri"/>
          <w:color w:val="000000"/>
          <w:sz w:val="24"/>
          <w:szCs w:val="24"/>
        </w:rPr>
        <w:t>, de autoria do Prefeito Municipal</w:t>
      </w:r>
      <w:r w:rsidRPr="00A77DA2">
        <w:rPr>
          <w:rFonts w:ascii="Calibri" w:hAnsi="Calibri"/>
          <w:color w:val="000000"/>
          <w:sz w:val="24"/>
          <w:szCs w:val="24"/>
        </w:rPr>
        <w:t>, sob relatoria da Vereadora Mara Cristina Choquetta.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="003B42B3">
        <w:rPr>
          <w:rFonts w:ascii="Calibri" w:hAnsi="Calibri"/>
          <w:color w:val="000000"/>
          <w:sz w:val="24"/>
          <w:szCs w:val="24"/>
        </w:rPr>
        <w:t>O Exmo. Prefeito Municipal</w:t>
      </w:r>
      <w:r w:rsidRPr="00A77DA2">
        <w:rPr>
          <w:rFonts w:ascii="Calibri" w:hAnsi="Calibri"/>
          <w:color w:val="000000"/>
          <w:sz w:val="24"/>
          <w:szCs w:val="24"/>
        </w:rPr>
        <w:t xml:space="preserve"> protocolou nesta Casa de Le</w:t>
      </w:r>
      <w:r w:rsidRPr="00A77DA2" w:rsidR="00A8293C">
        <w:rPr>
          <w:rFonts w:ascii="Calibri" w:hAnsi="Calibri"/>
          <w:color w:val="000000"/>
          <w:sz w:val="24"/>
          <w:szCs w:val="24"/>
        </w:rPr>
        <w:t>is o Projeto de Lei n</w:t>
      </w:r>
      <w:r w:rsidR="003B42B3">
        <w:rPr>
          <w:rFonts w:ascii="Calibri" w:hAnsi="Calibri"/>
          <w:color w:val="000000"/>
          <w:sz w:val="24"/>
          <w:szCs w:val="24"/>
        </w:rPr>
        <w:t xml:space="preserve">º </w:t>
      </w:r>
      <w:r w:rsidR="00B4421D">
        <w:rPr>
          <w:rFonts w:ascii="Calibri" w:hAnsi="Calibri"/>
          <w:color w:val="000000"/>
          <w:sz w:val="24"/>
          <w:szCs w:val="24"/>
        </w:rPr>
        <w:t>37</w:t>
      </w:r>
      <w:r w:rsidRPr="00A77DA2" w:rsidR="00D87F12">
        <w:rPr>
          <w:rFonts w:ascii="Calibri" w:hAnsi="Calibri"/>
          <w:color w:val="000000"/>
          <w:sz w:val="24"/>
          <w:szCs w:val="24"/>
        </w:rPr>
        <w:t>/2025</w:t>
      </w:r>
      <w:r w:rsidRPr="00A77DA2">
        <w:rPr>
          <w:rFonts w:ascii="Calibri" w:hAnsi="Calibri"/>
          <w:color w:val="000000"/>
          <w:sz w:val="24"/>
          <w:szCs w:val="24"/>
        </w:rPr>
        <w:t>, que “</w:t>
      </w:r>
      <w:r w:rsidR="003B42B3">
        <w:rPr>
          <w:rFonts w:ascii="Calibri" w:hAnsi="Calibri"/>
          <w:b/>
          <w:bCs/>
          <w:i/>
          <w:color w:val="000000"/>
          <w:sz w:val="24"/>
          <w:szCs w:val="24"/>
        </w:rPr>
        <w:t>AUTORIZA O MUNICÍPIO</w:t>
      </w:r>
      <w:r w:rsidR="00F938B8">
        <w:rPr>
          <w:rFonts w:ascii="Calibri" w:hAnsi="Calibri"/>
          <w:b/>
          <w:bCs/>
          <w:i/>
          <w:color w:val="000000"/>
          <w:sz w:val="24"/>
          <w:szCs w:val="24"/>
        </w:rPr>
        <w:t xml:space="preserve"> DE MOGI MIRIM, PELO PODER EXECUTIVO, A INSTITUIR O PROGRAMA ESPECIAL DE REGULARIZAÇÃO FISCAL (REFIS), E DÁ OUTRAS PROVIDÊNCIAS</w:t>
      </w:r>
      <w:r w:rsidR="003B42B3">
        <w:rPr>
          <w:rFonts w:ascii="Calibri" w:hAnsi="Calibri"/>
          <w:b/>
          <w:bCs/>
          <w:i/>
          <w:color w:val="000000"/>
          <w:sz w:val="24"/>
          <w:szCs w:val="24"/>
        </w:rPr>
        <w:t xml:space="preserve"> </w:t>
      </w:r>
      <w:r w:rsidRPr="00A77DA2" w:rsidR="00A8293C">
        <w:rPr>
          <w:rFonts w:ascii="Calibri" w:hAnsi="Calibri"/>
          <w:b/>
          <w:bCs/>
          <w:color w:val="000000"/>
          <w:sz w:val="24"/>
          <w:szCs w:val="24"/>
        </w:rPr>
        <w:t>”</w:t>
      </w:r>
    </w:p>
    <w:p w:rsidR="00F938B8" w:rsidP="00F938B8">
      <w:pPr>
        <w:pStyle w:val="BodyText"/>
        <w:spacing w:before="24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</w:r>
      <w:r w:rsidRPr="00F938B8">
        <w:rPr>
          <w:rFonts w:ascii="Calibri" w:hAnsi="Calibri"/>
          <w:color w:val="000000"/>
          <w:sz w:val="24"/>
          <w:szCs w:val="24"/>
        </w:rPr>
        <w:t xml:space="preserve">A propositura em tela busca obter autorização legislativa para que o Município de Mogi Mirim possa realizar o parcelamento de débitos fiscais, por meio do Programa Especial </w:t>
      </w:r>
      <w:r>
        <w:rPr>
          <w:rFonts w:ascii="Calibri" w:hAnsi="Calibri"/>
          <w:color w:val="000000"/>
          <w:sz w:val="24"/>
          <w:szCs w:val="24"/>
        </w:rPr>
        <w:t>de Regularização Fiscal (REFIS),</w:t>
      </w:r>
      <w:r w:rsidR="00B4421D">
        <w:rPr>
          <w:rFonts w:ascii="Calibri" w:hAnsi="Calibri"/>
          <w:color w:val="000000"/>
          <w:sz w:val="24"/>
          <w:szCs w:val="24"/>
        </w:rPr>
        <w:t xml:space="preserve"> de</w:t>
      </w:r>
      <w:r>
        <w:rPr>
          <w:rFonts w:ascii="Calibri" w:hAnsi="Calibri"/>
          <w:color w:val="000000"/>
          <w:sz w:val="24"/>
          <w:szCs w:val="24"/>
        </w:rPr>
        <w:t xml:space="preserve"> modo a diminuir os </w:t>
      </w:r>
      <w:r w:rsidRPr="00F938B8">
        <w:rPr>
          <w:rFonts w:ascii="Calibri" w:hAnsi="Calibri"/>
          <w:color w:val="000000"/>
          <w:sz w:val="24"/>
          <w:szCs w:val="24"/>
        </w:rPr>
        <w:t>valores inscritos em Dívida Ativa e ampliar as receitas correntes para o exercício de 2025 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F938B8">
        <w:rPr>
          <w:rFonts w:ascii="Calibri" w:hAnsi="Calibri"/>
          <w:color w:val="000000"/>
          <w:sz w:val="24"/>
          <w:szCs w:val="24"/>
        </w:rPr>
        <w:t>para os exercícios seguintes, criando um incentivo para os contribuintes que desejam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F938B8">
        <w:rPr>
          <w:rFonts w:ascii="Calibri" w:hAnsi="Calibri"/>
          <w:color w:val="000000"/>
          <w:sz w:val="24"/>
          <w:szCs w:val="24"/>
        </w:rPr>
        <w:t>regularizar suas dívidas,</w:t>
      </w:r>
      <w:r>
        <w:rPr>
          <w:rFonts w:ascii="Calibri" w:hAnsi="Calibri"/>
          <w:color w:val="000000"/>
          <w:sz w:val="24"/>
          <w:szCs w:val="24"/>
        </w:rPr>
        <w:t xml:space="preserve"> de natureza tributária ou não.</w:t>
      </w:r>
    </w:p>
    <w:p w:rsidR="00F938B8" w:rsidP="00D905CD">
      <w:pPr>
        <w:pStyle w:val="BodyText"/>
        <w:spacing w:before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>O autor</w:t>
      </w:r>
      <w:r w:rsidR="00D905CD">
        <w:rPr>
          <w:rFonts w:ascii="Calibri" w:eastAsia="Arial" w:hAnsi="Calibri" w:cs="Arial"/>
          <w:color w:val="000000"/>
          <w:sz w:val="24"/>
          <w:szCs w:val="24"/>
        </w:rPr>
        <w:t xml:space="preserve"> justifica que o programa “</w:t>
      </w:r>
      <w:r w:rsidRPr="00D905CD" w:rsidR="00D905CD">
        <w:rPr>
          <w:rFonts w:ascii="Calibri" w:eastAsia="Arial" w:hAnsi="Calibri" w:cs="Arial"/>
          <w:i/>
          <w:color w:val="000000"/>
          <w:sz w:val="24"/>
          <w:szCs w:val="24"/>
        </w:rPr>
        <w:t>certamente, facilitará aos contribuintes o acesso à regularização dos seus débitos, uma vez que ao se reduzir, total ou parcialmente, as multas e os juros moratórios, reduz-se seu impacto na composição da dívida. Não obstante, o ingresso ao programa se tornará novo componente de fonte de recursos, elevando suas receitas correntes, para que o Município possa programar ações de atendimento às necessidades básicas da população”.</w:t>
      </w:r>
    </w:p>
    <w:p w:rsidR="00D905CD" w:rsidP="00D905CD">
      <w:pPr>
        <w:pStyle w:val="BodyText"/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>A propositur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a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F912D7">
        <w:rPr>
          <w:rFonts w:ascii="Calibri" w:eastAsia="Arial" w:hAnsi="Calibri" w:cs="Arial"/>
          <w:color w:val="000000"/>
          <w:sz w:val="24"/>
          <w:szCs w:val="24"/>
        </w:rPr>
        <w:t>informa ainda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que o regime especial de regularização ora proposto, faz parte de uma mudança pragmática da conduta do poder público na cobrança dos débitos contra a fazenda pública do município, enfatizando que tal proposta vai</w:t>
      </w:r>
      <w:r w:rsidR="00F912D7">
        <w:rPr>
          <w:rFonts w:ascii="Calibri" w:eastAsia="Arial" w:hAnsi="Calibri" w:cs="Arial"/>
          <w:color w:val="000000"/>
          <w:sz w:val="24"/>
          <w:szCs w:val="24"/>
        </w:rPr>
        <w:t xml:space="preserve"> ao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encontro com as novas práticas de cobrança </w:t>
      </w:r>
      <w:r w:rsidR="00F912D7">
        <w:rPr>
          <w:rFonts w:ascii="Calibri" w:eastAsia="Arial" w:hAnsi="Calibri" w:cs="Arial"/>
          <w:color w:val="000000"/>
          <w:sz w:val="24"/>
          <w:szCs w:val="24"/>
        </w:rPr>
        <w:t>vigente, com o advento da Resolução nº 547, de 22 de fevereiro de 2024, do Conselho Nacional de Justiça – CNJ.</w:t>
      </w:r>
    </w:p>
    <w:p w:rsidR="00D905CD" w:rsidP="00F912D7">
      <w:pPr>
        <w:pStyle w:val="BodyText"/>
        <w:spacing w:before="240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Contudo, para a efetivação do programa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,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será condicionado a exigência de confissã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o de débitos pelo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devedor, além da </w:t>
      </w:r>
      <w:r w:rsidRPr="00D905CD">
        <w:rPr>
          <w:rFonts w:ascii="Calibri" w:eastAsia="Arial" w:hAnsi="Calibri" w:cs="Arial"/>
          <w:i/>
          <w:color w:val="000000"/>
          <w:sz w:val="24"/>
          <w:szCs w:val="24"/>
        </w:rPr>
        <w:t xml:space="preserve">“desistência das demandas judiciais ou administrativas em curso, sujeição da pessoa jurídica e da pessoa física ao pagamento regular dos tributos municipais vincendos posteriormente à data da adesão e pagamento das parcelas do débito </w:t>
      </w:r>
      <w:r w:rsidRPr="00D905CD">
        <w:rPr>
          <w:rFonts w:ascii="Calibri" w:eastAsia="Arial" w:hAnsi="Calibri" w:cs="Arial"/>
          <w:i/>
          <w:color w:val="000000"/>
          <w:sz w:val="24"/>
          <w:szCs w:val="24"/>
        </w:rPr>
        <w:t>consolidado.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”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.</w:t>
      </w:r>
    </w:p>
    <w:p w:rsidR="00D905CD" w:rsidP="00D905CD">
      <w:pPr>
        <w:pStyle w:val="BodyText"/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</w:r>
      <w:r w:rsidR="00F912D7">
        <w:rPr>
          <w:rFonts w:ascii="Calibri" w:eastAsia="Arial" w:hAnsi="Calibri" w:cs="Arial"/>
          <w:color w:val="000000"/>
          <w:sz w:val="24"/>
          <w:szCs w:val="24"/>
        </w:rPr>
        <w:t>De modo geral, a disponibilização de um novo programa de recuperação, promoverá uma nova oportunidade para que os munícipes possam regularizar suas pen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dê</w:t>
      </w:r>
      <w:r w:rsidR="00F912D7">
        <w:rPr>
          <w:rFonts w:ascii="Calibri" w:eastAsia="Arial" w:hAnsi="Calibri" w:cs="Arial"/>
          <w:color w:val="000000"/>
          <w:sz w:val="24"/>
          <w:szCs w:val="24"/>
        </w:rPr>
        <w:t xml:space="preserve">ncias tributárias, sem a necessidade de adoção de medidas mais 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agressiva</w:t>
      </w:r>
      <w:r w:rsidR="00F912D7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162E70" w:rsidP="00162E70">
      <w:pPr>
        <w:pStyle w:val="BodyText"/>
        <w:spacing w:before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Destacamos alguns pontos que consideramos relevantes:</w:t>
      </w:r>
    </w:p>
    <w:p w:rsidR="00166F99" w:rsidP="00D905CD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A adesão do programa se dará por </w:t>
      </w:r>
      <w:r w:rsidRPr="00166F99">
        <w:rPr>
          <w:rFonts w:ascii="Calibri" w:eastAsia="Arial" w:hAnsi="Calibri" w:cs="Arial"/>
          <w:color w:val="000000"/>
          <w:sz w:val="24"/>
          <w:szCs w:val="24"/>
          <w:u w:val="single"/>
        </w:rPr>
        <w:t>opção expressa do devedor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, entre os dias </w:t>
      </w:r>
      <w:r w:rsidRPr="00166F99">
        <w:rPr>
          <w:rFonts w:ascii="Calibri" w:eastAsia="Arial" w:hAnsi="Calibri" w:cs="Arial"/>
          <w:color w:val="000000"/>
          <w:sz w:val="24"/>
          <w:szCs w:val="24"/>
          <w:u w:val="single"/>
        </w:rPr>
        <w:t>12/05/2025 e 11/06/2</w:t>
      </w:r>
      <w:r w:rsidRPr="00166F99">
        <w:rPr>
          <w:rFonts w:ascii="Calibri" w:eastAsia="Arial" w:hAnsi="Calibri" w:cs="Arial"/>
          <w:color w:val="000000"/>
          <w:sz w:val="24"/>
          <w:szCs w:val="24"/>
          <w:u w:val="single"/>
        </w:rPr>
        <w:t>025,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com possibilidade de prorrogação por mais </w:t>
      </w:r>
      <w:r w:rsidRPr="00166F99">
        <w:rPr>
          <w:rFonts w:ascii="Calibri" w:eastAsia="Arial" w:hAnsi="Calibri" w:cs="Arial"/>
          <w:color w:val="000000"/>
          <w:sz w:val="24"/>
          <w:szCs w:val="24"/>
          <w:u w:val="single"/>
        </w:rPr>
        <w:t>30 dias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, </w:t>
      </w:r>
      <w:r w:rsidR="00011712">
        <w:rPr>
          <w:rFonts w:ascii="Calibri" w:eastAsia="Arial" w:hAnsi="Calibri" w:cs="Arial"/>
          <w:color w:val="000000"/>
          <w:sz w:val="24"/>
          <w:szCs w:val="24"/>
        </w:rPr>
        <w:t xml:space="preserve">a critério do Poder Executivo,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que se consolidará com a formalização de um Termo de Acordo entre as partes; </w:t>
      </w:r>
      <w:r>
        <w:rPr>
          <w:rFonts w:ascii="Calibri" w:eastAsia="Arial" w:hAnsi="Calibri" w:cs="Arial"/>
          <w:color w:val="000000"/>
          <w:szCs w:val="24"/>
        </w:rPr>
        <w:t>(art.2º)</w:t>
      </w:r>
    </w:p>
    <w:p w:rsidR="00166F99" w:rsidP="00D905CD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A redução da multa </w:t>
      </w:r>
      <w:r w:rsidR="00011712">
        <w:rPr>
          <w:rFonts w:ascii="Calibri" w:eastAsia="Arial" w:hAnsi="Calibri" w:cs="Arial"/>
          <w:color w:val="000000"/>
          <w:sz w:val="24"/>
          <w:szCs w:val="24"/>
        </w:rPr>
        <w:t xml:space="preserve">moratória e juros moratórios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obedecerá aos seguintes parâmetros </w:t>
      </w:r>
      <w:r>
        <w:rPr>
          <w:rFonts w:ascii="Calibri" w:eastAsia="Arial" w:hAnsi="Calibri" w:cs="Arial"/>
          <w:color w:val="000000"/>
          <w:szCs w:val="24"/>
        </w:rPr>
        <w:t xml:space="preserve">(art.2º </w:t>
      </w:r>
      <w:r>
        <w:rPr>
          <w:rFonts w:ascii="Calibri" w:eastAsia="Arial" w:hAnsi="Calibri" w:cs="Calibri"/>
          <w:color w:val="000000"/>
          <w:szCs w:val="24"/>
        </w:rPr>
        <w:t>§</w:t>
      </w:r>
      <w:r>
        <w:rPr>
          <w:rFonts w:ascii="Calibri" w:eastAsia="Arial" w:hAnsi="Calibri" w:cs="Arial"/>
          <w:color w:val="000000"/>
          <w:szCs w:val="24"/>
        </w:rPr>
        <w:t>2º</w:t>
      </w:r>
      <w:r w:rsidR="00F94175">
        <w:rPr>
          <w:rFonts w:ascii="Calibri" w:eastAsia="Arial" w:hAnsi="Calibri" w:cs="Arial"/>
          <w:color w:val="000000"/>
          <w:szCs w:val="24"/>
        </w:rPr>
        <w:t>)</w:t>
      </w:r>
      <w:r>
        <w:rPr>
          <w:rFonts w:ascii="Calibri" w:eastAsia="Arial" w:hAnsi="Calibri" w:cs="Arial"/>
          <w:color w:val="000000"/>
          <w:sz w:val="24"/>
          <w:szCs w:val="24"/>
        </w:rPr>
        <w:t>:</w:t>
      </w:r>
    </w:p>
    <w:p w:rsidR="00166F99" w:rsidRPr="00B763F8" w:rsidP="00F94175">
      <w:pPr>
        <w:pStyle w:val="BodyText"/>
        <w:spacing w:before="240"/>
        <w:ind w:left="1080"/>
        <w:jc w:val="both"/>
        <w:rPr>
          <w:rFonts w:ascii="Calibri" w:eastAsia="Arial" w:hAnsi="Calibri" w:cs="Arial"/>
          <w:color w:val="000000"/>
          <w:szCs w:val="24"/>
        </w:rPr>
      </w:pPr>
      <w:r w:rsidRPr="00B763F8">
        <w:rPr>
          <w:rFonts w:ascii="Calibri" w:eastAsia="Arial" w:hAnsi="Calibri" w:cs="Arial"/>
          <w:color w:val="000000"/>
          <w:szCs w:val="24"/>
        </w:rPr>
        <w:t>I – 100% (cem por cento) à vista, com vencimento para o 1º dia útil após a data da adesão ao REFIS;</w:t>
      </w:r>
    </w:p>
    <w:p w:rsidR="00166F99" w:rsidRPr="00B763F8" w:rsidP="00F94175">
      <w:pPr>
        <w:pStyle w:val="BodyText"/>
        <w:spacing w:before="240"/>
        <w:ind w:left="1080"/>
        <w:jc w:val="both"/>
        <w:rPr>
          <w:rFonts w:ascii="Calibri" w:eastAsia="Arial" w:hAnsi="Calibri" w:cs="Arial"/>
          <w:color w:val="000000"/>
          <w:szCs w:val="24"/>
        </w:rPr>
      </w:pPr>
      <w:r w:rsidRPr="00B763F8">
        <w:rPr>
          <w:rFonts w:ascii="Calibri" w:eastAsia="Arial" w:hAnsi="Calibri" w:cs="Arial"/>
          <w:color w:val="000000"/>
          <w:szCs w:val="24"/>
        </w:rPr>
        <w:t>II – 90% (noventa por cento) com 1 entrada, com vencimento para o 1º dia útil após a data da adesão ao REFIS, e mais 11 parcelas com vencimento a partir do último dia útil do mês subsequente;</w:t>
      </w:r>
    </w:p>
    <w:p w:rsidR="00166F99" w:rsidRPr="00B763F8" w:rsidP="00F94175">
      <w:pPr>
        <w:pStyle w:val="BodyText"/>
        <w:spacing w:before="240"/>
        <w:ind w:left="1080"/>
        <w:jc w:val="both"/>
        <w:rPr>
          <w:rFonts w:ascii="Calibri" w:eastAsia="Arial" w:hAnsi="Calibri" w:cs="Arial"/>
          <w:color w:val="000000"/>
          <w:szCs w:val="24"/>
        </w:rPr>
      </w:pPr>
      <w:r w:rsidRPr="00B763F8">
        <w:rPr>
          <w:rFonts w:ascii="Calibri" w:eastAsia="Arial" w:hAnsi="Calibri" w:cs="Arial"/>
          <w:color w:val="000000"/>
          <w:szCs w:val="24"/>
        </w:rPr>
        <w:t>III – 80% (oitenta por cento) com 1 entrada, com vencimento para o 1º dia útil após a data da adesão ao REFIS, e mais 23 parcelas com vencimento a partir do último dia útil do mês subsequente;;</w:t>
      </w:r>
    </w:p>
    <w:p w:rsidR="00166F99" w:rsidRPr="00B763F8" w:rsidP="00F94175">
      <w:pPr>
        <w:pStyle w:val="BodyText"/>
        <w:spacing w:before="240"/>
        <w:ind w:left="1080"/>
        <w:jc w:val="both"/>
        <w:rPr>
          <w:rFonts w:ascii="Calibri" w:eastAsia="Arial" w:hAnsi="Calibri" w:cs="Arial"/>
          <w:color w:val="000000"/>
          <w:szCs w:val="24"/>
        </w:rPr>
      </w:pPr>
      <w:r w:rsidRPr="00B763F8">
        <w:rPr>
          <w:rFonts w:ascii="Calibri" w:eastAsia="Arial" w:hAnsi="Calibri" w:cs="Arial"/>
          <w:color w:val="000000"/>
          <w:szCs w:val="24"/>
        </w:rPr>
        <w:t>V – 70% (setenta por cento) com 1 entrada, com vencimento para o 1º dia útil após a data da adesão ao REFIS, e mais 35 parcelas com vencimento a partir do último dia útil do mês subsequente;;</w:t>
      </w:r>
    </w:p>
    <w:p w:rsidR="00166F99" w:rsidRPr="00B763F8" w:rsidP="00F94175">
      <w:pPr>
        <w:pStyle w:val="BodyText"/>
        <w:spacing w:before="240"/>
        <w:ind w:left="1080"/>
        <w:jc w:val="both"/>
        <w:rPr>
          <w:rFonts w:ascii="Calibri" w:eastAsia="Arial" w:hAnsi="Calibri" w:cs="Arial"/>
          <w:color w:val="000000"/>
          <w:szCs w:val="24"/>
        </w:rPr>
      </w:pPr>
      <w:r w:rsidRPr="00B763F8">
        <w:rPr>
          <w:rFonts w:ascii="Calibri" w:eastAsia="Arial" w:hAnsi="Calibri" w:cs="Arial"/>
          <w:color w:val="000000"/>
          <w:szCs w:val="24"/>
        </w:rPr>
        <w:t>V – 60% (sessenta por cento) com 1 entrada, com vencimento para o 1º dia útil após a data da adesão ao REFIS, e mais 47 parcelas com vencimento a partir do último dia útil do mês subsequente;</w:t>
      </w:r>
    </w:p>
    <w:p w:rsidR="00166F99" w:rsidRPr="00166F99" w:rsidP="00166F99">
      <w:pPr>
        <w:pStyle w:val="BodyText"/>
        <w:spacing w:before="240"/>
        <w:ind w:left="708"/>
        <w:jc w:val="both"/>
        <w:rPr>
          <w:rFonts w:ascii="Calibri" w:eastAsia="Arial" w:hAnsi="Calibri" w:cs="Arial"/>
          <w:color w:val="000000"/>
          <w:sz w:val="22"/>
          <w:szCs w:val="24"/>
          <w:u w:val="single"/>
        </w:rPr>
      </w:pPr>
      <w:r>
        <w:rPr>
          <w:rFonts w:ascii="Calibri" w:eastAsia="Arial" w:hAnsi="Calibri" w:cs="Arial"/>
          <w:color w:val="000000"/>
          <w:sz w:val="22"/>
          <w:szCs w:val="24"/>
        </w:rPr>
        <w:t xml:space="preserve">Neste ponto, vale ressaltar que a Prefeitura propõe uma </w:t>
      </w:r>
      <w:r w:rsidRPr="00166F99">
        <w:rPr>
          <w:rFonts w:ascii="Calibri" w:eastAsia="Arial" w:hAnsi="Calibri" w:cs="Arial"/>
          <w:color w:val="000000"/>
          <w:sz w:val="22"/>
          <w:szCs w:val="24"/>
          <w:u w:val="single"/>
        </w:rPr>
        <w:t>redução integral dos valores</w:t>
      </w:r>
      <w:r w:rsidR="00011712">
        <w:rPr>
          <w:rFonts w:ascii="Calibri" w:eastAsia="Arial" w:hAnsi="Calibri" w:cs="Arial"/>
          <w:color w:val="000000"/>
          <w:sz w:val="22"/>
          <w:szCs w:val="24"/>
          <w:u w:val="single"/>
        </w:rPr>
        <w:t xml:space="preserve"> da multa e juros</w:t>
      </w:r>
      <w:r w:rsidRPr="00166F99">
        <w:rPr>
          <w:rFonts w:ascii="Calibri" w:eastAsia="Arial" w:hAnsi="Calibri" w:cs="Arial"/>
          <w:color w:val="000000"/>
          <w:sz w:val="22"/>
          <w:szCs w:val="24"/>
          <w:u w:val="single"/>
        </w:rPr>
        <w:t>, com 100% de desconto nos pagamentos à vista.</w:t>
      </w:r>
    </w:p>
    <w:p w:rsidR="00762586" w:rsidP="00D905CD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762586">
        <w:rPr>
          <w:rFonts w:ascii="Calibri" w:eastAsia="Arial" w:hAnsi="Calibri" w:cs="Arial"/>
          <w:color w:val="000000"/>
          <w:sz w:val="24"/>
          <w:szCs w:val="24"/>
        </w:rPr>
        <w:t>Possibilidade r</w:t>
      </w:r>
      <w:r w:rsidRPr="00762586" w:rsidR="00162E70">
        <w:rPr>
          <w:rFonts w:ascii="Calibri" w:eastAsia="Arial" w:hAnsi="Calibri" w:cs="Arial"/>
          <w:color w:val="000000"/>
          <w:sz w:val="24"/>
          <w:szCs w:val="24"/>
        </w:rPr>
        <w:t xml:space="preserve">epactuação de débitos já </w:t>
      </w:r>
      <w:r w:rsidRPr="00762586">
        <w:rPr>
          <w:rFonts w:ascii="Calibri" w:eastAsia="Arial" w:hAnsi="Calibri" w:cs="Arial"/>
          <w:color w:val="000000"/>
          <w:sz w:val="24"/>
          <w:szCs w:val="24"/>
        </w:rPr>
        <w:t xml:space="preserve">sob regime de parcelamento </w:t>
      </w:r>
      <w:r w:rsidRPr="00762586">
        <w:rPr>
          <w:rFonts w:ascii="Calibri" w:eastAsia="Arial" w:hAnsi="Calibri" w:cs="Arial"/>
          <w:color w:val="000000"/>
          <w:szCs w:val="24"/>
        </w:rPr>
        <w:t>(</w:t>
      </w:r>
      <w:r w:rsidRPr="00762586">
        <w:rPr>
          <w:rFonts w:ascii="Calibri" w:eastAsia="Arial" w:hAnsi="Calibri" w:cs="Calibri"/>
          <w:color w:val="000000"/>
          <w:szCs w:val="24"/>
        </w:rPr>
        <w:t>§</w:t>
      </w:r>
      <w:r w:rsidRPr="00762586">
        <w:rPr>
          <w:rFonts w:ascii="Calibri" w:eastAsia="Arial" w:hAnsi="Calibri" w:cs="Arial"/>
          <w:color w:val="000000"/>
          <w:szCs w:val="24"/>
        </w:rPr>
        <w:t>7º, Art.2º)</w:t>
      </w:r>
      <w:r w:rsidRPr="00762586" w:rsidR="00162E70">
        <w:rPr>
          <w:rFonts w:ascii="Calibri" w:eastAsia="Arial" w:hAnsi="Calibri" w:cs="Arial"/>
          <w:color w:val="000000"/>
          <w:sz w:val="24"/>
          <w:szCs w:val="24"/>
        </w:rPr>
        <w:t xml:space="preserve">, </w:t>
      </w:r>
      <w:r w:rsidRPr="00762586">
        <w:rPr>
          <w:rFonts w:ascii="Calibri" w:eastAsia="Arial" w:hAnsi="Calibri" w:cs="Arial"/>
          <w:color w:val="000000"/>
          <w:sz w:val="24"/>
          <w:szCs w:val="24"/>
        </w:rPr>
        <w:t xml:space="preserve">mesmo que já em fase de execução fiscal ajuizada ou protestado </w:t>
      </w:r>
      <w:r w:rsidRPr="00762586">
        <w:rPr>
          <w:rFonts w:ascii="Calibri" w:eastAsia="Arial" w:hAnsi="Calibri" w:cs="Arial"/>
          <w:color w:val="000000"/>
          <w:szCs w:val="24"/>
        </w:rPr>
        <w:t xml:space="preserve">(Art.3º, </w:t>
      </w:r>
      <w:r w:rsidRPr="00762586">
        <w:rPr>
          <w:rFonts w:ascii="Calibri" w:eastAsia="Arial" w:hAnsi="Calibri" w:cs="Calibri"/>
          <w:color w:val="000000"/>
          <w:szCs w:val="24"/>
        </w:rPr>
        <w:t>§</w:t>
      </w:r>
      <w:r w:rsidRPr="00762586">
        <w:rPr>
          <w:rFonts w:ascii="Calibri" w:eastAsia="Arial" w:hAnsi="Calibri" w:cs="Arial"/>
          <w:color w:val="000000"/>
          <w:szCs w:val="24"/>
        </w:rPr>
        <w:t xml:space="preserve">3º), </w:t>
      </w:r>
      <w:r w:rsidRPr="00762586">
        <w:rPr>
          <w:rFonts w:ascii="Calibri" w:eastAsia="Arial" w:hAnsi="Calibri" w:cs="Arial"/>
          <w:color w:val="000000"/>
          <w:sz w:val="24"/>
          <w:szCs w:val="24"/>
        </w:rPr>
        <w:t>desde que devidamente recolhid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as</w:t>
      </w:r>
      <w:r w:rsidRPr="00762586">
        <w:rPr>
          <w:rFonts w:ascii="Calibri" w:eastAsia="Arial" w:hAnsi="Calibri" w:cs="Arial"/>
          <w:color w:val="000000"/>
          <w:sz w:val="24"/>
          <w:szCs w:val="24"/>
        </w:rPr>
        <w:t xml:space="preserve"> as custas processuais e/ou cartoriais e dos honorários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Cs w:val="24"/>
        </w:rPr>
        <w:t>(Art. 6º);</w:t>
      </w:r>
    </w:p>
    <w:p w:rsidR="00162E70" w:rsidRPr="00566ADE" w:rsidP="00D905CD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A parcela mensal não poderá ser inferior a: R$ 50,00 para débitos de pessoa física e R$ 150,00 em caso de pessoas jurídicas </w:t>
      </w:r>
      <w:r>
        <w:rPr>
          <w:rFonts w:ascii="Calibri" w:eastAsia="Arial" w:hAnsi="Calibri" w:cs="Arial"/>
          <w:color w:val="000000"/>
          <w:szCs w:val="24"/>
        </w:rPr>
        <w:t>(Art. 3º, inciso I e II).</w:t>
      </w:r>
    </w:p>
    <w:p w:rsidR="00566ADE" w:rsidRPr="00762586" w:rsidP="00566ADE">
      <w:pPr>
        <w:pStyle w:val="BodyText"/>
        <w:spacing w:before="240"/>
        <w:ind w:left="72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Ressalta-se que neste ponto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há uma mudança com relação à edição anterior, sendo 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estipulado um valor abaixo do praticado na edição de 2023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566ADE">
        <w:rPr>
          <w:rFonts w:ascii="Calibri" w:eastAsia="Arial" w:hAnsi="Calibri" w:cs="Arial"/>
          <w:color w:val="000000"/>
          <w:szCs w:val="24"/>
        </w:rPr>
        <w:t>(R$ 80,00 para pessoa física, e R$ 250,00 para pessoa jurídica.</w:t>
      </w:r>
      <w:r>
        <w:rPr>
          <w:rFonts w:ascii="Calibri" w:eastAsia="Arial" w:hAnsi="Calibri" w:cs="Arial"/>
          <w:color w:val="000000"/>
          <w:szCs w:val="24"/>
        </w:rPr>
        <w:t>)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</w:p>
    <w:p w:rsidR="00162E70" w:rsidRPr="00B763F8" w:rsidP="00566ADE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Os valores das parcelas e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 xml:space="preserve"> 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saldo consolidado </w:t>
      </w:r>
      <w:r w:rsidR="00B4421D">
        <w:rPr>
          <w:rFonts w:ascii="Calibri" w:eastAsia="Arial" w:hAnsi="Calibri" w:cs="Arial"/>
          <w:color w:val="000000"/>
          <w:sz w:val="24"/>
          <w:szCs w:val="24"/>
        </w:rPr>
        <w:t>da dí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vida estão sujeitas a </w:t>
      </w:r>
      <w:r w:rsidR="00B763F8">
        <w:rPr>
          <w:rFonts w:ascii="Calibri" w:eastAsia="Arial" w:hAnsi="Calibri" w:cs="Arial"/>
          <w:color w:val="000000"/>
          <w:sz w:val="24"/>
          <w:szCs w:val="24"/>
        </w:rPr>
        <w:t>atualização monetária em cada exercício subsequente, com base na variação d</w:t>
      </w:r>
      <w:r>
        <w:rPr>
          <w:rFonts w:ascii="Calibri" w:eastAsia="Arial" w:hAnsi="Calibri" w:cs="Arial"/>
          <w:color w:val="000000"/>
          <w:sz w:val="24"/>
          <w:szCs w:val="24"/>
        </w:rPr>
        <w:t>o IPCA</w:t>
      </w:r>
      <w:r w:rsidR="00B763F8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B763F8">
        <w:rPr>
          <w:rFonts w:ascii="Calibri" w:eastAsia="Arial" w:hAnsi="Calibri" w:cs="Arial"/>
          <w:color w:val="000000"/>
          <w:szCs w:val="24"/>
        </w:rPr>
        <w:t xml:space="preserve">(Art.3º </w:t>
      </w:r>
      <w:r w:rsidR="00B763F8">
        <w:rPr>
          <w:rFonts w:ascii="Calibri" w:eastAsia="Arial" w:hAnsi="Calibri" w:cs="Calibri"/>
          <w:color w:val="000000"/>
          <w:szCs w:val="24"/>
        </w:rPr>
        <w:t>§</w:t>
      </w:r>
      <w:r w:rsidR="00B763F8">
        <w:rPr>
          <w:rFonts w:ascii="Calibri" w:eastAsia="Arial" w:hAnsi="Calibri" w:cs="Arial"/>
          <w:color w:val="000000"/>
          <w:szCs w:val="24"/>
        </w:rPr>
        <w:t>2º);</w:t>
      </w:r>
    </w:p>
    <w:p w:rsidR="00B763F8" w:rsidP="00B763F8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O </w:t>
      </w:r>
      <w:r w:rsidRPr="00B763F8">
        <w:rPr>
          <w:rFonts w:ascii="Calibri" w:eastAsia="Arial" w:hAnsi="Calibri" w:cs="Arial"/>
          <w:color w:val="000000"/>
          <w:sz w:val="24"/>
          <w:szCs w:val="24"/>
        </w:rPr>
        <w:t>descumprimento de quaisquer critérios estabelecidos na Lei Proposta implicará na perda dos benefícios por ela concedidos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além de outras medidas cabíveis </w:t>
      </w:r>
      <w:r>
        <w:rPr>
          <w:rFonts w:ascii="Calibri" w:eastAsia="Arial" w:hAnsi="Calibri" w:cs="Arial"/>
          <w:color w:val="000000"/>
          <w:szCs w:val="24"/>
        </w:rPr>
        <w:t>(Art. 8º)</w:t>
      </w:r>
      <w:r w:rsidRPr="00B763F8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6179A4" w:rsidP="00B763F8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Para fins de melhor elucidação dos impactos financeiros, a</w:t>
      </w:r>
      <w:r w:rsidRPr="00A77DA2" w:rsidR="0072400E">
        <w:rPr>
          <w:rFonts w:ascii="Calibri" w:eastAsia="Arial" w:hAnsi="Calibri" w:cs="Arial"/>
          <w:color w:val="000000"/>
          <w:sz w:val="24"/>
          <w:szCs w:val="24"/>
        </w:rPr>
        <w:t xml:space="preserve">companha o </w:t>
      </w:r>
      <w:r>
        <w:rPr>
          <w:rFonts w:ascii="Calibri" w:eastAsia="Arial" w:hAnsi="Calibri" w:cs="Arial"/>
          <w:color w:val="000000"/>
          <w:sz w:val="24"/>
          <w:szCs w:val="24"/>
        </w:rPr>
        <w:t>presente</w:t>
      </w:r>
      <w:r w:rsidRPr="00A77DA2" w:rsidR="0072400E">
        <w:rPr>
          <w:rFonts w:ascii="Calibri" w:eastAsia="Arial" w:hAnsi="Calibri" w:cs="Arial"/>
          <w:color w:val="000000"/>
          <w:sz w:val="24"/>
          <w:szCs w:val="24"/>
        </w:rPr>
        <w:t xml:space="preserve"> projeto o</w:t>
      </w:r>
      <w:r>
        <w:rPr>
          <w:rFonts w:ascii="Calibri" w:eastAsia="Arial" w:hAnsi="Calibri" w:cs="Arial"/>
          <w:color w:val="000000"/>
          <w:sz w:val="24"/>
          <w:szCs w:val="24"/>
        </w:rPr>
        <w:t>s</w:t>
      </w:r>
      <w:r w:rsidRPr="00A77DA2" w:rsidR="0072400E">
        <w:rPr>
          <w:rFonts w:ascii="Calibri" w:eastAsia="Arial" w:hAnsi="Calibri" w:cs="Arial"/>
          <w:color w:val="000000"/>
          <w:sz w:val="24"/>
          <w:szCs w:val="24"/>
        </w:rPr>
        <w:t xml:space="preserve"> anexo</w:t>
      </w:r>
      <w:r>
        <w:rPr>
          <w:rFonts w:ascii="Calibri" w:eastAsia="Arial" w:hAnsi="Calibri" w:cs="Arial"/>
          <w:color w:val="000000"/>
          <w:sz w:val="24"/>
          <w:szCs w:val="24"/>
        </w:rPr>
        <w:t>s I, II e III</w:t>
      </w:r>
      <w:r w:rsidRPr="00A77DA2" w:rsidR="0072400E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elaborado</w:t>
      </w:r>
      <w:r>
        <w:rPr>
          <w:rFonts w:ascii="Calibri" w:eastAsia="Arial" w:hAnsi="Calibri" w:cs="Arial"/>
          <w:color w:val="000000"/>
          <w:sz w:val="24"/>
          <w:szCs w:val="24"/>
        </w:rPr>
        <w:t>s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pelo</w:t>
      </w:r>
      <w:r>
        <w:rPr>
          <w:rFonts w:ascii="Calibri" w:eastAsia="Arial" w:hAnsi="Calibri" w:cs="Arial"/>
          <w:color w:val="000000"/>
          <w:sz w:val="24"/>
          <w:szCs w:val="24"/>
        </w:rPr>
        <w:t>s setores competentes</w:t>
      </w:r>
      <w:r w:rsidR="00C84EDF">
        <w:rPr>
          <w:rFonts w:ascii="Calibri" w:eastAsia="Arial" w:hAnsi="Calibri" w:cs="Arial"/>
          <w:color w:val="000000"/>
          <w:sz w:val="24"/>
          <w:szCs w:val="24"/>
        </w:rPr>
        <w:t xml:space="preserve"> do Executivo municipal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011712" w:rsidP="00B763F8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615FD" w:rsidRPr="00A77DA2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Inicialmente, e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m análise técnica ao Projeto de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B763F8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30. Compete aos Municípios:</w:t>
      </w:r>
    </w:p>
    <w:p w:rsidR="008615FD" w:rsidRPr="00B763F8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- 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assuntos de interesse local; </w:t>
      </w:r>
    </w:p>
    <w:p w:rsidR="00B763F8" w:rsidRPr="00B763F8" w:rsidP="00B763F8">
      <w:pPr>
        <w:pStyle w:val="BodyText"/>
        <w:spacing w:before="240" w:after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</w:r>
      <w:r w:rsidRPr="00B763F8">
        <w:rPr>
          <w:rFonts w:ascii="Calibri" w:eastAsia="Arial" w:hAnsi="Calibri" w:cs="Arial"/>
          <w:color w:val="000000"/>
          <w:sz w:val="24"/>
          <w:szCs w:val="24"/>
        </w:rPr>
        <w:t>O projeto se enquadra nessa competência, uma vez que visa regulamentar o parcelamento de débitos fiscais no âmbito municipal.</w:t>
      </w:r>
    </w:p>
    <w:p w:rsidR="00B763F8" w:rsidRPr="00B763F8" w:rsidP="00B763F8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B763F8">
        <w:rPr>
          <w:rFonts w:ascii="Calibri" w:eastAsia="Arial" w:hAnsi="Calibri" w:cs="Arial"/>
          <w:color w:val="000000"/>
          <w:sz w:val="24"/>
          <w:szCs w:val="24"/>
        </w:rPr>
        <w:t>Ademais, compete à Câmara Municipal, com a sanção do Prefeito, autorizar isenções, anistias fiscais e remissão e dívidas, conforme determina o artigo 31, inciso II, da Lei Orgânica Municipal. Confira-se:</w:t>
      </w:r>
    </w:p>
    <w:p w:rsidR="00B763F8" w:rsidRPr="00B763F8" w:rsidP="00B763F8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>
        <w:rPr>
          <w:rFonts w:ascii="Calibri" w:eastAsia="Arial" w:hAnsi="Calibri" w:cs="Arial"/>
          <w:i/>
          <w:color w:val="000000"/>
          <w:sz w:val="22"/>
          <w:szCs w:val="24"/>
        </w:rPr>
        <w:t>“</w:t>
      </w:r>
      <w:r w:rsidRPr="00B763F8">
        <w:rPr>
          <w:rFonts w:ascii="Calibri" w:eastAsia="Arial" w:hAnsi="Calibri" w:cs="Arial"/>
          <w:i/>
          <w:color w:val="000000"/>
          <w:sz w:val="22"/>
          <w:szCs w:val="24"/>
        </w:rPr>
        <w:t>Art. 31.  Compete à Câmara Municipal, com a sanção do Prefeito, dispor sobre todas as matérias de competência do Município e, especialmente:</w:t>
      </w:r>
    </w:p>
    <w:p w:rsidR="00B763F8" w:rsidRPr="00B763F8" w:rsidP="00B763F8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color w:val="000000"/>
          <w:sz w:val="22"/>
          <w:szCs w:val="24"/>
        </w:rPr>
        <w:t xml:space="preserve">II - autorizar isenções e anistias fiscais e a remissão de </w:t>
      </w:r>
      <w:r w:rsidRPr="00B763F8" w:rsidR="00B4421D">
        <w:rPr>
          <w:rFonts w:ascii="Calibri" w:eastAsia="Arial" w:hAnsi="Calibri" w:cs="Arial"/>
          <w:i/>
          <w:color w:val="000000"/>
          <w:sz w:val="22"/>
          <w:szCs w:val="24"/>
        </w:rPr>
        <w:t>dívidas;</w:t>
      </w:r>
      <w:r w:rsidR="00B4421D">
        <w:rPr>
          <w:rFonts w:ascii="Calibri" w:eastAsia="Arial" w:hAnsi="Calibri" w:cs="Arial"/>
          <w:i/>
          <w:color w:val="000000"/>
          <w:sz w:val="22"/>
          <w:szCs w:val="24"/>
        </w:rPr>
        <w:t>”</w:t>
      </w:r>
    </w:p>
    <w:p w:rsidR="00755A4C" w:rsidP="00B763F8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</w:r>
    </w:p>
    <w:p w:rsidR="00B763F8" w:rsidRPr="00A77DA2" w:rsidP="00755A4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>Isto posto, do ponto de vista legal, não encontramos óbices para continuidade da propositura.</w:t>
      </w:r>
    </w:p>
    <w:p w:rsidR="009F0C12" w:rsidRPr="009F0C12" w:rsidP="004239E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>Do ponto de vista orçamentário/financeiro da proposta</w:t>
      </w:r>
      <w:r>
        <w:rPr>
          <w:rFonts w:ascii="Calibri" w:eastAsia="Arial" w:hAnsi="Calibri" w:cs="Arial"/>
          <w:color w:val="000000"/>
          <w:sz w:val="24"/>
          <w:szCs w:val="24"/>
        </w:rPr>
        <w:t>,</w:t>
      </w:r>
      <w:r w:rsidRPr="00B763F8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o</w:t>
      </w:r>
      <w:r w:rsidRPr="00B763F8" w:rsidR="00B763F8">
        <w:rPr>
          <w:rFonts w:ascii="Calibri" w:eastAsia="Arial" w:hAnsi="Calibri" w:cs="Arial"/>
          <w:color w:val="000000"/>
          <w:sz w:val="24"/>
          <w:szCs w:val="24"/>
        </w:rPr>
        <w:t xml:space="preserve"> projeto estabelece reduções significativas nas multas moratórias e juros para os contribuintes que aderirem ao programa.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Com esta regularização, ocorrerá uma diminuição da Dívida Ativa e a geração de recursos financeiros não previsto no orçamento municipal, que serão investidos em projetos e serviços que beneficiam a população, promovendo o desenvolvimento municipal. Segundo entendimento do responsável pela pasta “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Ai</w:t>
      </w:r>
      <w:r w:rsidR="007D5B4C">
        <w:rPr>
          <w:rFonts w:ascii="Calibri" w:eastAsia="Arial" w:hAnsi="Calibri" w:cs="Arial"/>
          <w:i/>
          <w:color w:val="000000"/>
          <w:sz w:val="24"/>
          <w:szCs w:val="24"/>
        </w:rPr>
        <w:t>nda que a municipalidade anistie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 xml:space="preserve"> uma parcela de sua expectativa </w:t>
      </w:r>
      <w:r w:rsidR="007D5B4C">
        <w:rPr>
          <w:rFonts w:ascii="Calibri" w:eastAsia="Arial" w:hAnsi="Calibri" w:cs="Arial"/>
          <w:i/>
          <w:color w:val="000000"/>
          <w:sz w:val="24"/>
          <w:szCs w:val="24"/>
        </w:rPr>
        <w:t>futura de receita, referente a multa e aos juros moratórios, a arrecadação real é ampliada...”.</w:t>
      </w:r>
    </w:p>
    <w:p w:rsidR="00C84EDF" w:rsidP="004239E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Neste quesito </w:t>
      </w:r>
      <w:r w:rsidRPr="00A77DA2" w:rsidR="00FD0E69">
        <w:rPr>
          <w:rFonts w:ascii="Calibri" w:eastAsia="Arial" w:hAnsi="Calibri" w:cs="Arial"/>
          <w:color w:val="000000"/>
          <w:sz w:val="24"/>
          <w:szCs w:val="24"/>
        </w:rPr>
        <w:t>se faz importante trazer à tona algumas informações.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Se encontra nos autos</w:t>
      </w:r>
      <w:r w:rsidR="007D5B4C">
        <w:rPr>
          <w:rFonts w:ascii="Calibri" w:eastAsia="Arial" w:hAnsi="Calibri" w:cs="Arial"/>
          <w:color w:val="000000"/>
          <w:sz w:val="24"/>
          <w:szCs w:val="24"/>
        </w:rPr>
        <w:t xml:space="preserve"> do processo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o </w:t>
      </w:r>
      <w:r w:rsidR="004239E5">
        <w:rPr>
          <w:rFonts w:ascii="Calibri" w:eastAsia="Arial" w:hAnsi="Calibri" w:cs="Arial"/>
          <w:color w:val="000000"/>
          <w:sz w:val="24"/>
          <w:szCs w:val="24"/>
        </w:rPr>
        <w:t xml:space="preserve">ANEXO I de autoria da Secretaria Municipal de Finanças onde nos é </w:t>
      </w:r>
      <w:r w:rsidR="004239E5">
        <w:rPr>
          <w:rFonts w:ascii="Calibri" w:eastAsia="Arial" w:hAnsi="Calibri" w:cs="Arial"/>
          <w:color w:val="000000"/>
          <w:sz w:val="24"/>
          <w:szCs w:val="24"/>
        </w:rPr>
        <w:t xml:space="preserve">informado que o montante total do estoque da dívida ativa até o ano de 2024 é da ordem de </w:t>
      </w:r>
      <w:r w:rsidR="004239E5">
        <w:rPr>
          <w:rFonts w:ascii="Calibri" w:eastAsia="Arial" w:hAnsi="Calibri" w:cs="Arial"/>
          <w:b/>
          <w:color w:val="000000"/>
          <w:sz w:val="24"/>
          <w:szCs w:val="24"/>
        </w:rPr>
        <w:t xml:space="preserve">R$ 445.914.263,85, </w:t>
      </w:r>
      <w:r w:rsidR="004239E5">
        <w:rPr>
          <w:rFonts w:ascii="Calibri" w:eastAsia="Arial" w:hAnsi="Calibri" w:cs="Arial"/>
          <w:color w:val="000000"/>
          <w:sz w:val="24"/>
          <w:szCs w:val="24"/>
        </w:rPr>
        <w:t xml:space="preserve">referente a todos os impostos, taxas e contribuições não liquidadas até seu vencimento, e, posteriormente, inscritas em dívida ativa. Tal valor pode ser considerado altíssimo, quando comparamos com a receita corrente do município, sendo equivalente a </w:t>
      </w:r>
      <w:r w:rsidRPr="00DB7BFC" w:rsidR="004239E5">
        <w:rPr>
          <w:rFonts w:ascii="Calibri" w:eastAsia="Arial" w:hAnsi="Calibri" w:cs="Arial"/>
          <w:b/>
          <w:color w:val="000000"/>
          <w:sz w:val="24"/>
          <w:szCs w:val="24"/>
        </w:rPr>
        <w:t>quase 68%</w:t>
      </w:r>
      <w:r w:rsidR="007D5B4C">
        <w:rPr>
          <w:rFonts w:ascii="Calibri" w:eastAsia="Arial" w:hAnsi="Calibri" w:cs="Arial"/>
          <w:color w:val="000000"/>
          <w:sz w:val="24"/>
          <w:szCs w:val="24"/>
        </w:rPr>
        <w:t xml:space="preserve"> d</w:t>
      </w:r>
      <w:r w:rsidR="004239E5">
        <w:rPr>
          <w:rFonts w:ascii="Calibri" w:eastAsia="Arial" w:hAnsi="Calibri" w:cs="Arial"/>
          <w:color w:val="000000"/>
          <w:sz w:val="24"/>
          <w:szCs w:val="24"/>
        </w:rPr>
        <w:t>o arrecadado no exercício de 2024 (R$ 665.336.195,65)</w:t>
      </w:r>
      <w:r w:rsidR="00DB7BFC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C84EDF" w:rsidP="00C84EDF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b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O valor da dívida consolidada é composto da seguinte forma: a) Valor Principal – </w:t>
      </w:r>
      <w:r w:rsidRPr="00A56A09">
        <w:rPr>
          <w:rFonts w:ascii="Calibri" w:eastAsia="Arial" w:hAnsi="Calibri" w:cs="Arial"/>
          <w:b/>
          <w:color w:val="000000"/>
          <w:sz w:val="24"/>
          <w:szCs w:val="24"/>
        </w:rPr>
        <w:t>R$ 116.214.694,24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; b) Multa – </w:t>
      </w:r>
      <w:r w:rsidRPr="00A56A09">
        <w:rPr>
          <w:rFonts w:ascii="Calibri" w:eastAsia="Arial" w:hAnsi="Calibri" w:cs="Arial"/>
          <w:b/>
          <w:color w:val="000000"/>
          <w:sz w:val="24"/>
          <w:szCs w:val="24"/>
        </w:rPr>
        <w:t>R$ 19.806.526,78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; c) Juros - </w:t>
      </w:r>
      <w:r w:rsidRPr="00DB7BFC">
        <w:rPr>
          <w:rFonts w:ascii="Calibri" w:eastAsia="Arial" w:hAnsi="Calibri" w:cs="Arial"/>
          <w:b/>
          <w:color w:val="000000"/>
          <w:sz w:val="24"/>
          <w:szCs w:val="24"/>
        </w:rPr>
        <w:t xml:space="preserve">R$ 230.789.569,86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e; d) Correção – </w:t>
      </w:r>
      <w:r w:rsidRPr="00DB7BFC">
        <w:rPr>
          <w:rFonts w:ascii="Calibri" w:eastAsia="Arial" w:hAnsi="Calibri" w:cs="Arial"/>
          <w:b/>
          <w:color w:val="000000"/>
          <w:sz w:val="24"/>
          <w:szCs w:val="24"/>
        </w:rPr>
        <w:t>R$ 79.103.472,97</w:t>
      </w:r>
      <w:r w:rsidR="00A56A09">
        <w:rPr>
          <w:rFonts w:ascii="Calibri" w:eastAsia="Arial" w:hAnsi="Calibri" w:cs="Arial"/>
          <w:b/>
          <w:color w:val="000000"/>
          <w:sz w:val="24"/>
          <w:szCs w:val="24"/>
        </w:rPr>
        <w:t xml:space="preserve">. </w:t>
      </w:r>
    </w:p>
    <w:p w:rsidR="007D5B4C" w:rsidP="00A56A09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b/>
          <w:color w:val="000000"/>
          <w:sz w:val="24"/>
          <w:szCs w:val="24"/>
        </w:rPr>
      </w:pPr>
      <w:r>
        <w:rPr>
          <w:rFonts w:ascii="Calibri" w:eastAsia="Arial" w:hAnsi="Calibri" w:cs="Arial"/>
          <w:b/>
          <w:color w:val="000000"/>
          <w:sz w:val="24"/>
          <w:szCs w:val="24"/>
        </w:rPr>
        <w:tab/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O mesmo anexo I expõe </w:t>
      </w:r>
      <w:r>
        <w:rPr>
          <w:rFonts w:ascii="Calibri" w:eastAsia="Arial" w:hAnsi="Calibri" w:cs="Arial"/>
          <w:color w:val="000000"/>
          <w:sz w:val="24"/>
          <w:szCs w:val="24"/>
        </w:rPr>
        <w:t>que a projeção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de recebimento com a adesão do REFIS/2025, girará em torno dos </w:t>
      </w:r>
      <w:r w:rsidRPr="00A56A09">
        <w:rPr>
          <w:rFonts w:ascii="Calibri" w:eastAsia="Arial" w:hAnsi="Calibri" w:cs="Arial"/>
          <w:b/>
          <w:color w:val="000000"/>
          <w:sz w:val="24"/>
          <w:szCs w:val="24"/>
        </w:rPr>
        <w:t>R$ 20.110.733,30</w:t>
      </w:r>
      <w:r>
        <w:rPr>
          <w:rFonts w:ascii="Calibri" w:eastAsia="Arial" w:hAnsi="Calibri" w:cs="Arial"/>
          <w:b/>
          <w:color w:val="000000"/>
          <w:sz w:val="24"/>
          <w:szCs w:val="24"/>
        </w:rPr>
        <w:t xml:space="preserve">. </w:t>
      </w:r>
      <w:r w:rsidRPr="00A56A09">
        <w:rPr>
          <w:rFonts w:ascii="Calibri" w:eastAsia="Arial" w:hAnsi="Calibri" w:cs="Arial"/>
          <w:color w:val="000000"/>
          <w:sz w:val="24"/>
          <w:szCs w:val="24"/>
        </w:rPr>
        <w:t>Tal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estimativa foi elaborada a partir do memorial de cálculo histórico da edição de 2023, devidamente </w:t>
      </w:r>
      <w:r>
        <w:rPr>
          <w:rFonts w:ascii="Calibri" w:eastAsia="Arial" w:hAnsi="Calibri" w:cs="Arial"/>
          <w:color w:val="000000"/>
          <w:sz w:val="24"/>
          <w:szCs w:val="24"/>
        </w:rPr>
        <w:t>demonstrada no Anexo II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Cs w:val="24"/>
        </w:rPr>
        <w:t>(fl.13).</w:t>
      </w:r>
      <w:r>
        <w:rPr>
          <w:rFonts w:ascii="Calibri" w:eastAsia="Arial" w:hAnsi="Calibri" w:cs="Arial"/>
          <w:color w:val="000000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Por sua vez, caso se concretize tal estimativa, o valor da anistia girará em torno de </w:t>
      </w:r>
      <w:r w:rsidRPr="007D5B4C">
        <w:rPr>
          <w:rFonts w:ascii="Calibri" w:eastAsia="Arial" w:hAnsi="Calibri" w:cs="Arial"/>
          <w:b/>
          <w:color w:val="000000"/>
          <w:sz w:val="24"/>
          <w:szCs w:val="24"/>
        </w:rPr>
        <w:t>R$ 7.000.853,94</w:t>
      </w:r>
      <w:r>
        <w:rPr>
          <w:rFonts w:ascii="Calibri" w:eastAsia="Arial" w:hAnsi="Calibri" w:cs="Arial"/>
          <w:b/>
          <w:color w:val="000000"/>
          <w:sz w:val="24"/>
          <w:szCs w:val="24"/>
        </w:rPr>
        <w:t>.</w:t>
      </w:r>
    </w:p>
    <w:p w:rsidR="00BB195C" w:rsidP="00A56A09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b/>
          <w:color w:val="000000"/>
          <w:sz w:val="24"/>
          <w:szCs w:val="24"/>
        </w:rPr>
        <w:tab/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No que se refere à anistia se faz importante pontuar que a Lei de Responsabilidade Fiscal </w:t>
      </w:r>
      <w:r w:rsidR="0026737C">
        <w:rPr>
          <w:rFonts w:ascii="Calibri" w:eastAsia="Arial" w:hAnsi="Calibri" w:cs="Arial"/>
          <w:color w:val="000000"/>
          <w:sz w:val="24"/>
          <w:szCs w:val="24"/>
        </w:rPr>
        <w:t xml:space="preserve">configura a concessão de benefícios tributários como renúncia de receita, e merecem cumprir com alguns requisitos para ter validade. Citamos, em especial, a necessidade de compensação da anistia com o aumento anual da receita da dívida ativa, o que se comprovou, com o balanço da efetividade do REFIS/2023, que demonstrou um aumento de </w:t>
      </w:r>
      <w:r w:rsidRPr="0026737C" w:rsidR="0026737C">
        <w:rPr>
          <w:rFonts w:ascii="Calibri" w:eastAsia="Arial" w:hAnsi="Calibri" w:cs="Arial"/>
          <w:b/>
          <w:color w:val="000000"/>
          <w:sz w:val="24"/>
          <w:szCs w:val="24"/>
        </w:rPr>
        <w:t>32,64%</w:t>
      </w:r>
      <w:r w:rsidR="0026737C">
        <w:rPr>
          <w:rFonts w:ascii="Calibri" w:eastAsia="Arial" w:hAnsi="Calibri" w:cs="Arial"/>
          <w:color w:val="000000"/>
          <w:sz w:val="24"/>
          <w:szCs w:val="24"/>
        </w:rPr>
        <w:t xml:space="preserve"> em relação ao período pré REFIS</w:t>
      </w:r>
      <w:r w:rsidRPr="0026737C" w:rsidR="0026737C">
        <w:rPr>
          <w:rFonts w:ascii="Calibri" w:eastAsia="Arial" w:hAnsi="Calibri" w:cs="Arial"/>
          <w:color w:val="000000"/>
          <w:szCs w:val="24"/>
        </w:rPr>
        <w:t xml:space="preserve"> (tabelas do Anexo I)</w:t>
      </w:r>
      <w:r w:rsidR="0026737C">
        <w:rPr>
          <w:rFonts w:ascii="Calibri" w:eastAsia="Arial" w:hAnsi="Calibri" w:cs="Arial"/>
          <w:color w:val="000000"/>
          <w:sz w:val="24"/>
          <w:szCs w:val="24"/>
        </w:rPr>
        <w:t>.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</w:p>
    <w:p w:rsidR="007D5B4C" w:rsidP="00BB195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Válido relembrar que a Resolução CNJ nº 547/2024, propõe medidas alternativas para diminuição das ações de execução fiscal, como as tentativas de conciliação ou outras medidas administrativas. Destacamos:</w:t>
      </w:r>
    </w:p>
    <w:p w:rsidR="00BB195C" w:rsidRPr="00BB195C" w:rsidP="00BB195C">
      <w:pPr>
        <w:pStyle w:val="BodyText"/>
        <w:spacing w:before="240" w:after="240"/>
        <w:ind w:left="2832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>
        <w:rPr>
          <w:rFonts w:ascii="Calibri" w:eastAsia="Arial" w:hAnsi="Calibri" w:cs="Arial"/>
          <w:i/>
          <w:color w:val="000000"/>
          <w:sz w:val="22"/>
          <w:szCs w:val="24"/>
        </w:rPr>
        <w:t>“</w:t>
      </w:r>
      <w:r w:rsidRPr="00BB195C">
        <w:rPr>
          <w:rFonts w:ascii="Calibri" w:eastAsia="Arial" w:hAnsi="Calibri" w:cs="Arial"/>
          <w:i/>
          <w:color w:val="000000"/>
          <w:sz w:val="22"/>
          <w:szCs w:val="24"/>
        </w:rPr>
        <w:t>Art. 2º O ajuizamento de execução fiscal dependerá de prévia tentativa de conciliação ou adoção de solução administrativa.</w:t>
      </w:r>
    </w:p>
    <w:p w:rsidR="00BB195C" w:rsidRPr="00BB195C" w:rsidP="00BB195C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BB195C">
        <w:rPr>
          <w:rFonts w:ascii="Calibri" w:eastAsia="Arial" w:hAnsi="Calibri" w:cs="Arial"/>
          <w:i/>
          <w:color w:val="000000"/>
          <w:sz w:val="22"/>
          <w:szCs w:val="24"/>
        </w:rPr>
        <w:t xml:space="preserve">§ 1º A tentativa de conciliação pode ser satisfeita, exemplificativamente, pela existência de lei geral de parcelamento ou oferecimento de algum tipo de vantagem na via administrativa, </w:t>
      </w:r>
      <w:r w:rsidRPr="00BB195C">
        <w:rPr>
          <w:rFonts w:ascii="Calibri" w:eastAsia="Arial" w:hAnsi="Calibri" w:cs="Arial"/>
          <w:i/>
          <w:color w:val="000000"/>
          <w:sz w:val="22"/>
          <w:szCs w:val="24"/>
          <w:u w:val="single"/>
        </w:rPr>
        <w:t>como redução ou extinção de juros ou multas</w:t>
      </w:r>
      <w:r w:rsidRPr="00BB195C">
        <w:rPr>
          <w:rFonts w:ascii="Calibri" w:eastAsia="Arial" w:hAnsi="Calibri" w:cs="Arial"/>
          <w:i/>
          <w:color w:val="000000"/>
          <w:sz w:val="22"/>
          <w:szCs w:val="24"/>
        </w:rPr>
        <w:t xml:space="preserve">, ou oportunidade concreta de transação na qual o executado, em tese, se </w:t>
      </w:r>
      <w:r w:rsidRPr="00BB195C">
        <w:rPr>
          <w:rFonts w:ascii="Calibri" w:eastAsia="Arial" w:hAnsi="Calibri" w:cs="Arial"/>
          <w:i/>
          <w:color w:val="000000"/>
          <w:sz w:val="22"/>
          <w:szCs w:val="24"/>
        </w:rPr>
        <w:t>enquadre.</w:t>
      </w:r>
      <w:r>
        <w:rPr>
          <w:rFonts w:ascii="Calibri" w:eastAsia="Arial" w:hAnsi="Calibri" w:cs="Arial"/>
          <w:i/>
          <w:color w:val="000000"/>
          <w:sz w:val="22"/>
          <w:szCs w:val="24"/>
        </w:rPr>
        <w:t>”</w:t>
      </w:r>
      <w:r>
        <w:rPr>
          <w:rFonts w:ascii="Calibri" w:eastAsia="Arial" w:hAnsi="Calibri" w:cs="Arial"/>
          <w:i/>
          <w:color w:val="000000"/>
          <w:sz w:val="22"/>
          <w:szCs w:val="24"/>
        </w:rPr>
        <w:t xml:space="preserve"> (</w:t>
      </w:r>
      <w:r>
        <w:rPr>
          <w:rFonts w:ascii="Calibri" w:eastAsia="Arial" w:hAnsi="Calibri" w:cs="Arial"/>
          <w:i/>
          <w:color w:val="000000"/>
          <w:sz w:val="22"/>
          <w:szCs w:val="24"/>
        </w:rPr>
        <w:t>grifo</w:t>
      </w:r>
      <w:r>
        <w:rPr>
          <w:rFonts w:ascii="Calibri" w:eastAsia="Arial" w:hAnsi="Calibri" w:cs="Arial"/>
          <w:i/>
          <w:color w:val="000000"/>
          <w:sz w:val="22"/>
          <w:szCs w:val="24"/>
        </w:rPr>
        <w:t xml:space="preserve"> nosso)</w:t>
      </w:r>
    </w:p>
    <w:p w:rsidR="00755A4C" w:rsidP="00755A4C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</w:r>
    </w:p>
    <w:p w:rsidR="008615FD" w:rsidP="00755A4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Diante de todo exposto, nota-se que a Propositura em análise mantém conformidade com a sua legalidade dentro da Constituição Federal e Lei Orgânica Municipal, 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 xml:space="preserve">comprovando 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 xml:space="preserve">a regularidade da proposta à luz da 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>Lei de R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>esponsabilidade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 xml:space="preserve"> F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>isca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>l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 xml:space="preserve">, sendo uma importante ferramenta de 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 xml:space="preserve">recuperação 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 xml:space="preserve">de receita e trazendo benefícios à população, tornando-a, portanto, uma </w:t>
      </w:r>
      <w:r w:rsidRPr="00755A4C" w:rsidR="00B1218F">
        <w:rPr>
          <w:rFonts w:ascii="Calibri" w:eastAsia="Arial" w:hAnsi="Calibri" w:cs="Arial"/>
          <w:color w:val="000000"/>
          <w:sz w:val="24"/>
          <w:szCs w:val="24"/>
          <w:u w:val="single"/>
        </w:rPr>
        <w:t>ação de interesse público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, motivo pelo qual não se identifica óbice pa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>r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a a sua regular tramitação e aprovação por esta Casa Legislativa. </w:t>
      </w:r>
    </w:p>
    <w:p w:rsidR="00755A4C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755A4C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bookmarkStart w:id="1" w:name="_GoBack"/>
      <w:bookmarkEnd w:id="1"/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E851C4">
        <w:rPr>
          <w:rFonts w:ascii="Calibri" w:hAnsi="Calibri"/>
          <w:color w:val="000000"/>
          <w:sz w:val="24"/>
          <w:szCs w:val="24"/>
        </w:rPr>
        <w:t>Esta relatoria não possui emendas a propor.</w:t>
      </w:r>
    </w:p>
    <w:p w:rsidR="00B1218F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8615FD" w:rsidRPr="00A77DA2">
      <w:pPr>
        <w:pStyle w:val="BodyText"/>
        <w:spacing w:before="240" w:after="0" w:line="240" w:lineRule="auto"/>
        <w:jc w:val="center"/>
        <w:rPr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1</w:t>
      </w:r>
      <w:r w:rsidR="00011712">
        <w:rPr>
          <w:rFonts w:ascii="Calibri" w:hAnsi="Calibri"/>
          <w:color w:val="000000"/>
          <w:sz w:val="24"/>
          <w:szCs w:val="24"/>
          <w:shd w:val="clear" w:color="auto" w:fill="FFFFFF"/>
        </w:rPr>
        <w:t>6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abril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352E5F" w:rsidRPr="00A77DA2">
      <w:pPr>
        <w:overflowPunct/>
        <w:rPr>
          <w:sz w:val="24"/>
          <w:szCs w:val="24"/>
        </w:rPr>
      </w:pPr>
      <w:r w:rsidRPr="00A77DA2">
        <w:rPr>
          <w:sz w:val="24"/>
          <w:szCs w:val="24"/>
        </w:rPr>
        <w:br w:type="page"/>
      </w:r>
    </w:p>
    <w:p w:rsidR="008615FD" w:rsidRPr="00A77DA2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PARECER FAVORÁVEL CONJUNTO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Pr="00A77DA2">
        <w:rPr>
          <w:rFonts w:ascii="Calibri" w:hAnsi="Calibri"/>
          <w:b/>
          <w:color w:val="000000"/>
          <w:sz w:val="24"/>
          <w:szCs w:val="24"/>
        </w:rPr>
        <w:t>S COMISSÕES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 xml:space="preserve"> DE JUSTIÇA E REDAÇÃO E 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 xml:space="preserve">Seguindo o Voto exarado pela Relatora e conforme determinam os artigos 35 e 37, combinado com artigo 45, da Resolução n.º 276 de 09 de novembro de 2.010, a Comissão de Justiça e Redação e de Finanças e Orçamento, formalizam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="00B1218F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1</w:t>
      </w:r>
      <w:r w:rsidR="00011712">
        <w:rPr>
          <w:rFonts w:ascii="Calibri" w:hAnsi="Calibri"/>
          <w:color w:val="000000"/>
          <w:sz w:val="24"/>
          <w:szCs w:val="24"/>
          <w:shd w:val="clear" w:color="auto" w:fill="FFFFFF"/>
        </w:rPr>
        <w:t>6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abril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line="240" w:lineRule="auto"/>
        <w:rPr>
          <w:sz w:val="24"/>
          <w:szCs w:val="24"/>
        </w:rPr>
      </w:pPr>
      <w:r w:rsidRPr="00A77DA2">
        <w:rPr>
          <w:sz w:val="24"/>
          <w:szCs w:val="24"/>
        </w:rPr>
        <w:br/>
      </w:r>
    </w:p>
    <w:p w:rsidR="008615FD" w:rsidRPr="00A77DA2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8615FD" w:rsidRPr="00A77DA2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sz w:val="24"/>
          <w:szCs w:val="24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>Parecer Conjunto PL nº 37</w:t>
    </w:r>
    <w:r w:rsidR="00312C6E">
      <w:rPr>
        <w:rFonts w:asciiTheme="majorHAnsi" w:hAnsiTheme="majorHAnsi" w:cstheme="majorHAnsi"/>
        <w:i/>
        <w:sz w:val="18"/>
      </w:rPr>
      <w:t xml:space="preserve">/2025 - </w:t>
    </w:r>
    <w:r w:rsidRPr="00312C6E" w:rsidR="00312C6E">
      <w:rPr>
        <w:rFonts w:asciiTheme="majorHAnsi" w:hAnsiTheme="majorHAnsi" w:cstheme="majorHAnsi"/>
        <w:i/>
        <w:sz w:val="18"/>
      </w:rPr>
      <w:t>Documento ass</w:t>
    </w:r>
    <w:r w:rsidR="00312C6E">
      <w:rPr>
        <w:rFonts w:asciiTheme="majorHAnsi" w:hAnsiTheme="majorHAnsi" w:cstheme="majorHAnsi"/>
        <w:i/>
        <w:sz w:val="18"/>
      </w:rPr>
      <w:t>inado digitalmente.</w:t>
    </w:r>
    <w:r w:rsidRPr="00312C6E" w:rsid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83970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FA4A0D"/>
    <w:multiLevelType w:val="hybridMultilevel"/>
    <w:tmpl w:val="E0220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11712"/>
    <w:rsid w:val="000A2A86"/>
    <w:rsid w:val="00162E70"/>
    <w:rsid w:val="00166F99"/>
    <w:rsid w:val="0026737C"/>
    <w:rsid w:val="002B456D"/>
    <w:rsid w:val="002F68A9"/>
    <w:rsid w:val="00303D54"/>
    <w:rsid w:val="00312C6E"/>
    <w:rsid w:val="00352E5F"/>
    <w:rsid w:val="00391092"/>
    <w:rsid w:val="003B42B3"/>
    <w:rsid w:val="004239E5"/>
    <w:rsid w:val="00566ADE"/>
    <w:rsid w:val="005C6BA4"/>
    <w:rsid w:val="006179A4"/>
    <w:rsid w:val="006F0330"/>
    <w:rsid w:val="00704339"/>
    <w:rsid w:val="0072400E"/>
    <w:rsid w:val="00755A4C"/>
    <w:rsid w:val="00762586"/>
    <w:rsid w:val="007D5B4C"/>
    <w:rsid w:val="008053EA"/>
    <w:rsid w:val="008615FD"/>
    <w:rsid w:val="00922054"/>
    <w:rsid w:val="009F0C12"/>
    <w:rsid w:val="00A56A09"/>
    <w:rsid w:val="00A65BA7"/>
    <w:rsid w:val="00A77DA2"/>
    <w:rsid w:val="00A8293C"/>
    <w:rsid w:val="00B1218F"/>
    <w:rsid w:val="00B4421D"/>
    <w:rsid w:val="00B763F8"/>
    <w:rsid w:val="00BB195C"/>
    <w:rsid w:val="00C84EDF"/>
    <w:rsid w:val="00C96EEB"/>
    <w:rsid w:val="00D16D19"/>
    <w:rsid w:val="00D508C2"/>
    <w:rsid w:val="00D72EDC"/>
    <w:rsid w:val="00D87F12"/>
    <w:rsid w:val="00D905CD"/>
    <w:rsid w:val="00DB7BFC"/>
    <w:rsid w:val="00E851C4"/>
    <w:rsid w:val="00F912D7"/>
    <w:rsid w:val="00F938B8"/>
    <w:rsid w:val="00F94175"/>
    <w:rsid w:val="00FD0E69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6</Pages>
  <Words>1664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2025-04-16T13:58:00Z</cp:lastPrinted>
  <dcterms:created xsi:type="dcterms:W3CDTF">2025-04-15T00:28:00Z</dcterms:created>
  <dcterms:modified xsi:type="dcterms:W3CDTF">2025-04-16T14:08:00Z</dcterms:modified>
  <dc:language>pt-BR</dc:language>
</cp:coreProperties>
</file>