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F041B" w:rsidRPr="002E5402" w:rsidP="008971D3">
      <w:pPr>
        <w:contextualSpacing/>
        <w:jc w:val="both"/>
        <w:rPr>
          <w:sz w:val="24"/>
          <w:szCs w:val="24"/>
        </w:rPr>
      </w:pPr>
      <w:r>
        <w:rPr>
          <w:rFonts w:ascii="Calibri" w:hAnsi="Calibri" w:cs="Arial"/>
          <w:b/>
          <w:bCs/>
          <w:iCs/>
          <w:color w:val="000000"/>
          <w:sz w:val="24"/>
          <w:szCs w:val="24"/>
          <w:shd w:val="clear" w:color="auto" w:fill="FFFFFF"/>
        </w:rPr>
        <w:t>Parecer ao Projeto de Lei n.º 05</w:t>
      </w:r>
      <w:r w:rsidRPr="002E5402" w:rsidR="00892E0F">
        <w:rPr>
          <w:rFonts w:ascii="Calibri" w:hAnsi="Calibri" w:cs="Arial"/>
          <w:b/>
          <w:bCs/>
          <w:iCs/>
          <w:color w:val="000000"/>
          <w:sz w:val="24"/>
          <w:szCs w:val="24"/>
          <w:shd w:val="clear" w:color="auto" w:fill="FFFFFF"/>
        </w:rPr>
        <w:t>/</w:t>
      </w:r>
      <w:r w:rsidRPr="002E5402" w:rsidR="00600FC1">
        <w:rPr>
          <w:rFonts w:ascii="Calibri" w:hAnsi="Calibri" w:cs="Arial"/>
          <w:b/>
          <w:bCs/>
          <w:iCs/>
          <w:color w:val="000000"/>
          <w:sz w:val="24"/>
          <w:szCs w:val="24"/>
          <w:shd w:val="clear" w:color="auto" w:fill="FFFFFF"/>
        </w:rPr>
        <w:t>2025</w:t>
      </w:r>
    </w:p>
    <w:p w:rsidR="004F041B" w:rsidRPr="002E5402">
      <w:pPr>
        <w:pStyle w:val="BodyText"/>
        <w:spacing w:after="0" w:line="240" w:lineRule="auto"/>
        <w:contextualSpacing/>
        <w:rPr>
          <w:sz w:val="24"/>
          <w:szCs w:val="24"/>
        </w:rPr>
      </w:pPr>
      <w:r>
        <w:rPr>
          <w:rFonts w:ascii="Calibri" w:hAnsi="Calibri"/>
          <w:b/>
          <w:color w:val="000000"/>
          <w:sz w:val="24"/>
          <w:szCs w:val="24"/>
        </w:rPr>
        <w:t>Processo nº 05</w:t>
      </w:r>
      <w:r w:rsidRPr="002E5402" w:rsidR="00600FC1">
        <w:rPr>
          <w:rFonts w:ascii="Calibri" w:hAnsi="Calibri"/>
          <w:b/>
          <w:color w:val="000000"/>
          <w:sz w:val="24"/>
          <w:szCs w:val="24"/>
        </w:rPr>
        <w:t>/2025</w:t>
      </w:r>
    </w:p>
    <w:p w:rsidR="004F041B">
      <w:pPr>
        <w:pStyle w:val="BodyText"/>
        <w:spacing w:before="240" w:after="0" w:line="240" w:lineRule="auto"/>
        <w:jc w:val="both"/>
        <w:rPr>
          <w:rFonts w:ascii="Calibri" w:hAnsi="Calibri"/>
          <w:color w:val="000000"/>
          <w:sz w:val="24"/>
          <w:szCs w:val="24"/>
        </w:rPr>
      </w:pPr>
      <w:r w:rsidRPr="002E5402">
        <w:rPr>
          <w:rFonts w:ascii="Calibri" w:hAnsi="Calibri"/>
          <w:color w:val="000000"/>
          <w:sz w:val="24"/>
          <w:szCs w:val="24"/>
        </w:rPr>
        <w:tab/>
        <w:t>Confor</w:t>
      </w:r>
      <w:r w:rsidRPr="002E5402" w:rsidR="0005109F">
        <w:rPr>
          <w:rFonts w:ascii="Calibri" w:hAnsi="Calibri"/>
          <w:color w:val="000000"/>
          <w:sz w:val="24"/>
          <w:szCs w:val="24"/>
        </w:rPr>
        <w:t>m</w:t>
      </w:r>
      <w:r w:rsidR="008971D3">
        <w:rPr>
          <w:rFonts w:ascii="Calibri" w:hAnsi="Calibri"/>
          <w:color w:val="000000"/>
          <w:sz w:val="24"/>
          <w:szCs w:val="24"/>
        </w:rPr>
        <w:t>e determina</w:t>
      </w:r>
      <w:r w:rsidRPr="002E5402" w:rsidR="002C658D">
        <w:rPr>
          <w:rFonts w:ascii="Calibri" w:hAnsi="Calibri"/>
          <w:color w:val="000000"/>
          <w:sz w:val="24"/>
          <w:szCs w:val="24"/>
        </w:rPr>
        <w:t xml:space="preserve"> o artigo </w:t>
      </w:r>
      <w:r w:rsidRPr="002E5402" w:rsidR="00F860DB">
        <w:rPr>
          <w:rFonts w:ascii="Calibri" w:hAnsi="Calibri"/>
          <w:color w:val="000000"/>
          <w:sz w:val="24"/>
          <w:szCs w:val="24"/>
        </w:rPr>
        <w:t>37</w:t>
      </w:r>
      <w:r w:rsidRPr="002E5402" w:rsidR="00892E0F">
        <w:rPr>
          <w:rFonts w:ascii="Calibri" w:hAnsi="Calibri"/>
          <w:color w:val="000000"/>
          <w:sz w:val="24"/>
          <w:szCs w:val="24"/>
        </w:rPr>
        <w:t xml:space="preserve"> </w:t>
      </w:r>
      <w:r w:rsidRPr="002E5402">
        <w:rPr>
          <w:rFonts w:ascii="Calibri" w:hAnsi="Calibri"/>
          <w:color w:val="000000"/>
          <w:sz w:val="24"/>
          <w:szCs w:val="24"/>
        </w:rPr>
        <w:t>da Resolução 276 de 09 de novembro de 2010 – Regimento Interno da Câmara Municipal,</w:t>
      </w:r>
      <w:r w:rsidRPr="002E5402" w:rsidR="00892E0F">
        <w:rPr>
          <w:rFonts w:ascii="Calibri" w:hAnsi="Calibri"/>
          <w:color w:val="000000"/>
          <w:sz w:val="24"/>
          <w:szCs w:val="24"/>
        </w:rPr>
        <w:t xml:space="preserve"> </w:t>
      </w:r>
      <w:r w:rsidRPr="002E5402">
        <w:rPr>
          <w:rFonts w:ascii="Calibri" w:hAnsi="Calibri"/>
          <w:color w:val="000000"/>
          <w:sz w:val="24"/>
          <w:szCs w:val="24"/>
        </w:rPr>
        <w:t>a Comissão Permanente de Finanças e Orçamento emite o presente Relatóri</w:t>
      </w:r>
      <w:r w:rsidRPr="002E5402" w:rsidR="00F860DB">
        <w:rPr>
          <w:rFonts w:ascii="Calibri" w:hAnsi="Calibri"/>
          <w:color w:val="000000"/>
          <w:sz w:val="24"/>
          <w:szCs w:val="24"/>
        </w:rPr>
        <w:t xml:space="preserve">o acerca do Projeto de Lei </w:t>
      </w:r>
      <w:r w:rsidR="008971D3">
        <w:rPr>
          <w:rFonts w:ascii="Calibri" w:hAnsi="Calibri"/>
          <w:color w:val="000000"/>
          <w:sz w:val="24"/>
          <w:szCs w:val="24"/>
        </w:rPr>
        <w:t>nº 05</w:t>
      </w:r>
      <w:r w:rsidRPr="002E5402" w:rsidR="00600FC1">
        <w:rPr>
          <w:rFonts w:ascii="Calibri" w:hAnsi="Calibri"/>
          <w:color w:val="000000"/>
          <w:sz w:val="24"/>
          <w:szCs w:val="24"/>
        </w:rPr>
        <w:t>/2025</w:t>
      </w:r>
      <w:r w:rsidRPr="002E5402" w:rsidR="002C658D">
        <w:rPr>
          <w:rFonts w:ascii="Calibri" w:hAnsi="Calibri"/>
          <w:color w:val="000000"/>
          <w:sz w:val="24"/>
          <w:szCs w:val="24"/>
        </w:rPr>
        <w:t>, de autoria da Exma</w:t>
      </w:r>
      <w:r w:rsidRPr="002E5402">
        <w:rPr>
          <w:rFonts w:ascii="Calibri" w:hAnsi="Calibri"/>
          <w:color w:val="000000"/>
          <w:sz w:val="24"/>
          <w:szCs w:val="24"/>
        </w:rPr>
        <w:t>. Sr</w:t>
      </w:r>
      <w:r w:rsidRPr="002E5402" w:rsidR="002C658D">
        <w:rPr>
          <w:rFonts w:ascii="Calibri" w:hAnsi="Calibri"/>
          <w:color w:val="000000"/>
          <w:sz w:val="24"/>
          <w:szCs w:val="24"/>
        </w:rPr>
        <w:t>a</w:t>
      </w:r>
      <w:r w:rsidRPr="002E5402">
        <w:rPr>
          <w:rFonts w:ascii="Calibri" w:hAnsi="Calibri"/>
          <w:color w:val="000000"/>
          <w:sz w:val="24"/>
          <w:szCs w:val="24"/>
        </w:rPr>
        <w:t>.</w:t>
      </w:r>
      <w:r w:rsidRPr="002E5402" w:rsidR="002C658D">
        <w:rPr>
          <w:rFonts w:ascii="Calibri" w:hAnsi="Calibri"/>
          <w:color w:val="000000"/>
          <w:sz w:val="24"/>
          <w:szCs w:val="24"/>
        </w:rPr>
        <w:t xml:space="preserve"> Vereadora Daniella Gonçalves de Amoêdo Campos</w:t>
      </w:r>
      <w:r w:rsidRPr="002E5402">
        <w:rPr>
          <w:rFonts w:ascii="Calibri" w:hAnsi="Calibri"/>
          <w:color w:val="000000"/>
          <w:sz w:val="24"/>
          <w:szCs w:val="24"/>
        </w:rPr>
        <w:t>, sob relatoria da Vereadora Mara Cristina Choquetta.</w:t>
      </w:r>
    </w:p>
    <w:p w:rsidR="00034D4D">
      <w:pPr>
        <w:pStyle w:val="BodyText"/>
        <w:spacing w:before="240" w:after="0" w:line="240" w:lineRule="auto"/>
        <w:jc w:val="both"/>
        <w:rPr>
          <w:rFonts w:ascii="Calibri" w:hAnsi="Calibri"/>
          <w:color w:val="000000"/>
          <w:sz w:val="24"/>
          <w:szCs w:val="24"/>
        </w:rPr>
      </w:pPr>
    </w:p>
    <w:p w:rsidR="004F041B" w:rsidRPr="002E5402">
      <w:pPr>
        <w:pStyle w:val="BodyText"/>
        <w:spacing w:before="240" w:after="0" w:line="240" w:lineRule="auto"/>
        <w:jc w:val="both"/>
        <w:rPr>
          <w:rFonts w:ascii="Calibri" w:hAnsi="Calibri"/>
          <w:b/>
          <w:color w:val="000000"/>
          <w:sz w:val="24"/>
          <w:szCs w:val="24"/>
        </w:rPr>
      </w:pPr>
      <w:r w:rsidRPr="002E5402">
        <w:rPr>
          <w:rFonts w:ascii="Calibri" w:hAnsi="Calibri"/>
          <w:b/>
          <w:color w:val="000000"/>
          <w:sz w:val="24"/>
          <w:szCs w:val="24"/>
        </w:rPr>
        <w:t>I. Exposição da Matéria</w:t>
      </w:r>
    </w:p>
    <w:p w:rsidR="004F041B" w:rsidRPr="002E5402">
      <w:pPr>
        <w:pStyle w:val="BodyText"/>
        <w:spacing w:before="240" w:after="0" w:line="240" w:lineRule="auto"/>
        <w:jc w:val="both"/>
        <w:rPr>
          <w:sz w:val="24"/>
          <w:szCs w:val="24"/>
        </w:rPr>
      </w:pPr>
      <w:r w:rsidRPr="002E5402">
        <w:rPr>
          <w:rFonts w:ascii="Calibri" w:hAnsi="Calibri"/>
          <w:color w:val="000000"/>
          <w:sz w:val="24"/>
          <w:szCs w:val="24"/>
        </w:rPr>
        <w:tab/>
      </w:r>
      <w:r w:rsidRPr="002E5402" w:rsidR="002C658D">
        <w:rPr>
          <w:rFonts w:ascii="Calibri" w:hAnsi="Calibri"/>
          <w:color w:val="000000"/>
          <w:sz w:val="24"/>
          <w:szCs w:val="24"/>
        </w:rPr>
        <w:t>A Excelentíssima Senhora Vereadora protocolou nes</w:t>
      </w:r>
      <w:r w:rsidRPr="002E5402">
        <w:rPr>
          <w:rFonts w:ascii="Calibri" w:hAnsi="Calibri"/>
          <w:color w:val="000000"/>
          <w:sz w:val="24"/>
          <w:szCs w:val="24"/>
        </w:rPr>
        <w:t>ta Cas</w:t>
      </w:r>
      <w:r w:rsidRPr="002E5402" w:rsidR="002C658D">
        <w:rPr>
          <w:rFonts w:ascii="Calibri" w:hAnsi="Calibri"/>
          <w:color w:val="000000"/>
          <w:sz w:val="24"/>
          <w:szCs w:val="24"/>
        </w:rPr>
        <w:t>a de Leis o Projeto de Lei nº 0</w:t>
      </w:r>
      <w:r w:rsidR="008971D3">
        <w:rPr>
          <w:rFonts w:ascii="Calibri" w:hAnsi="Calibri"/>
          <w:color w:val="000000"/>
          <w:sz w:val="24"/>
          <w:szCs w:val="24"/>
        </w:rPr>
        <w:t>5</w:t>
      </w:r>
      <w:r w:rsidRPr="002E5402" w:rsidR="002C658D">
        <w:rPr>
          <w:rFonts w:ascii="Calibri" w:hAnsi="Calibri"/>
          <w:color w:val="000000"/>
          <w:sz w:val="24"/>
          <w:szCs w:val="24"/>
        </w:rPr>
        <w:t>/2025</w:t>
      </w:r>
      <w:r w:rsidRPr="002E5402">
        <w:rPr>
          <w:rFonts w:ascii="Calibri" w:hAnsi="Calibri"/>
          <w:color w:val="000000"/>
          <w:sz w:val="24"/>
          <w:szCs w:val="24"/>
        </w:rPr>
        <w:t xml:space="preserve">, que </w:t>
      </w:r>
      <w:r w:rsidRPr="002E5402">
        <w:rPr>
          <w:rFonts w:ascii="Calibri" w:hAnsi="Calibri"/>
          <w:i/>
          <w:iCs/>
          <w:color w:val="000000"/>
          <w:sz w:val="24"/>
          <w:szCs w:val="24"/>
        </w:rPr>
        <w:t>“</w:t>
      </w:r>
      <w:r w:rsidR="008971D3">
        <w:rPr>
          <w:rFonts w:ascii="Calibri" w:hAnsi="Calibri"/>
          <w:b/>
          <w:bCs/>
          <w:i/>
          <w:iCs/>
          <w:color w:val="000000"/>
          <w:sz w:val="24"/>
          <w:szCs w:val="24"/>
        </w:rPr>
        <w:t xml:space="preserve">Institui a Campanha de Sensibilização, Informação e Incentivo à Vacinação </w:t>
      </w:r>
      <w:r w:rsidRPr="002E5402" w:rsidR="00D93B9F">
        <w:rPr>
          <w:rFonts w:ascii="Calibri" w:hAnsi="Calibri"/>
          <w:b/>
          <w:bCs/>
          <w:i/>
          <w:iCs/>
          <w:color w:val="000000"/>
          <w:sz w:val="24"/>
          <w:szCs w:val="24"/>
        </w:rPr>
        <w:t xml:space="preserve">no município de Mogi Mirim, e dá outras providências </w:t>
      </w:r>
      <w:r w:rsidRPr="002E5402">
        <w:rPr>
          <w:rFonts w:ascii="Calibri" w:hAnsi="Calibri"/>
          <w:b/>
          <w:bCs/>
          <w:i/>
          <w:iCs/>
          <w:color w:val="000000"/>
          <w:sz w:val="24"/>
          <w:szCs w:val="24"/>
        </w:rPr>
        <w:t>”</w:t>
      </w:r>
    </w:p>
    <w:p w:rsidR="00D11FF7" w:rsidRPr="008971D3">
      <w:pPr>
        <w:pStyle w:val="BodyText"/>
        <w:spacing w:before="240" w:after="0" w:line="240" w:lineRule="auto"/>
        <w:jc w:val="both"/>
        <w:rPr>
          <w:rFonts w:ascii="Calibri" w:eastAsia="Arial" w:hAnsi="Calibri" w:cs="Arial"/>
          <w:i/>
          <w:color w:val="000000"/>
          <w:sz w:val="24"/>
          <w:szCs w:val="24"/>
        </w:rPr>
      </w:pPr>
      <w:r w:rsidRPr="002E5402">
        <w:rPr>
          <w:rFonts w:ascii="Calibri" w:hAnsi="Calibri"/>
          <w:color w:val="000000"/>
          <w:sz w:val="24"/>
          <w:szCs w:val="24"/>
        </w:rPr>
        <w:tab/>
      </w:r>
      <w:r w:rsidRPr="002E5402">
        <w:rPr>
          <w:rFonts w:ascii="Calibri" w:eastAsia="Arial" w:hAnsi="Calibri" w:cs="Arial"/>
          <w:color w:val="000000"/>
          <w:sz w:val="24"/>
          <w:szCs w:val="24"/>
        </w:rPr>
        <w:t xml:space="preserve">O referido Projeto de Lei </w:t>
      </w:r>
      <w:r w:rsidR="008971D3">
        <w:rPr>
          <w:rFonts w:ascii="Calibri" w:eastAsia="Arial" w:hAnsi="Calibri" w:cs="Arial"/>
          <w:color w:val="000000"/>
          <w:sz w:val="24"/>
          <w:szCs w:val="24"/>
        </w:rPr>
        <w:t>tem por objetivo “</w:t>
      </w:r>
      <w:r w:rsidR="008971D3">
        <w:rPr>
          <w:rFonts w:ascii="Calibri" w:eastAsia="Arial" w:hAnsi="Calibri" w:cs="Arial"/>
          <w:i/>
          <w:color w:val="000000"/>
          <w:sz w:val="24"/>
          <w:szCs w:val="24"/>
        </w:rPr>
        <w:t>...levar ao conhecimento do maior número de pessoas possíveis, sobre as vacinas que são disponibilizadas na rede pública de saúde...”</w:t>
      </w:r>
    </w:p>
    <w:p w:rsidR="009E5446" w:rsidP="008971D3">
      <w:pPr>
        <w:pStyle w:val="BodyText"/>
        <w:spacing w:before="240" w:after="0" w:line="240" w:lineRule="auto"/>
        <w:jc w:val="both"/>
        <w:rPr>
          <w:rFonts w:ascii="Calibri" w:eastAsia="Arial" w:hAnsi="Calibri" w:cs="Arial"/>
          <w:i/>
          <w:color w:val="000000"/>
          <w:sz w:val="24"/>
          <w:szCs w:val="24"/>
        </w:rPr>
      </w:pPr>
      <w:r w:rsidRPr="002E5402">
        <w:rPr>
          <w:rFonts w:ascii="Calibri" w:eastAsia="Arial" w:hAnsi="Calibri" w:cs="Arial"/>
          <w:color w:val="000000"/>
          <w:sz w:val="24"/>
          <w:szCs w:val="24"/>
        </w:rPr>
        <w:tab/>
      </w:r>
      <w:r w:rsidRPr="002E5402" w:rsidR="00D93B9F">
        <w:rPr>
          <w:rFonts w:ascii="Calibri" w:eastAsia="Arial" w:hAnsi="Calibri" w:cs="Arial"/>
          <w:color w:val="000000"/>
          <w:sz w:val="24"/>
          <w:szCs w:val="24"/>
        </w:rPr>
        <w:t>A</w:t>
      </w:r>
      <w:r w:rsidRPr="002E5402">
        <w:rPr>
          <w:rFonts w:ascii="Calibri" w:eastAsia="Arial" w:hAnsi="Calibri" w:cs="Arial"/>
          <w:color w:val="000000"/>
          <w:sz w:val="24"/>
          <w:szCs w:val="24"/>
        </w:rPr>
        <w:t xml:space="preserve"> autor</w:t>
      </w:r>
      <w:r w:rsidRPr="002E5402" w:rsidR="00D93B9F">
        <w:rPr>
          <w:rFonts w:ascii="Calibri" w:eastAsia="Arial" w:hAnsi="Calibri" w:cs="Arial"/>
          <w:color w:val="000000"/>
          <w:sz w:val="24"/>
          <w:szCs w:val="24"/>
        </w:rPr>
        <w:t>a</w:t>
      </w:r>
      <w:r w:rsidRPr="002E5402">
        <w:rPr>
          <w:rFonts w:ascii="Calibri" w:eastAsia="Arial" w:hAnsi="Calibri" w:cs="Arial"/>
          <w:color w:val="000000"/>
          <w:sz w:val="24"/>
          <w:szCs w:val="24"/>
        </w:rPr>
        <w:t xml:space="preserve"> </w:t>
      </w:r>
      <w:r w:rsidRPr="002E5402" w:rsidR="006E6173">
        <w:rPr>
          <w:rFonts w:ascii="Calibri" w:eastAsia="Arial" w:hAnsi="Calibri" w:cs="Arial"/>
          <w:color w:val="000000"/>
          <w:sz w:val="24"/>
          <w:szCs w:val="24"/>
        </w:rPr>
        <w:t xml:space="preserve">do projeto </w:t>
      </w:r>
      <w:r w:rsidR="008971D3">
        <w:rPr>
          <w:rFonts w:ascii="Calibri" w:eastAsia="Arial" w:hAnsi="Calibri" w:cs="Arial"/>
          <w:color w:val="000000"/>
          <w:sz w:val="24"/>
          <w:szCs w:val="24"/>
        </w:rPr>
        <w:t xml:space="preserve">ainda enfatiza </w:t>
      </w:r>
      <w:r w:rsidRPr="002E5402" w:rsidR="006E6173">
        <w:rPr>
          <w:rFonts w:ascii="Calibri" w:eastAsia="Arial" w:hAnsi="Calibri" w:cs="Arial"/>
          <w:color w:val="000000"/>
          <w:sz w:val="24"/>
          <w:szCs w:val="24"/>
        </w:rPr>
        <w:t xml:space="preserve">que </w:t>
      </w:r>
      <w:r w:rsidRPr="002E5402" w:rsidR="006E6173">
        <w:rPr>
          <w:rFonts w:ascii="Calibri" w:eastAsia="Arial" w:hAnsi="Calibri" w:cs="Arial"/>
          <w:i/>
          <w:color w:val="000000"/>
          <w:sz w:val="24"/>
          <w:szCs w:val="24"/>
        </w:rPr>
        <w:t>“...</w:t>
      </w:r>
      <w:r w:rsidR="008971D3">
        <w:rPr>
          <w:rFonts w:ascii="Calibri" w:eastAsia="Arial" w:hAnsi="Calibri" w:cs="Arial"/>
          <w:i/>
          <w:color w:val="000000"/>
          <w:sz w:val="24"/>
          <w:szCs w:val="24"/>
        </w:rPr>
        <w:t>a iniciativa visa alcançar o maior número de imunizações, através do incentivo pela conscientização sobre a importância dessas vacinas para o ser humano...</w:t>
      </w:r>
      <w:r w:rsidRPr="002E5402" w:rsidR="00462883">
        <w:rPr>
          <w:rFonts w:ascii="Calibri" w:eastAsia="Arial" w:hAnsi="Calibri" w:cs="Arial"/>
          <w:i/>
          <w:color w:val="000000"/>
          <w:sz w:val="24"/>
          <w:szCs w:val="24"/>
        </w:rPr>
        <w:t>”</w:t>
      </w:r>
      <w:r w:rsidRPr="002E5402" w:rsidR="006E6173">
        <w:rPr>
          <w:rFonts w:ascii="Calibri" w:eastAsia="Arial" w:hAnsi="Calibri" w:cs="Arial"/>
          <w:i/>
          <w:color w:val="000000"/>
          <w:sz w:val="24"/>
          <w:szCs w:val="24"/>
        </w:rPr>
        <w:t>.</w:t>
      </w:r>
    </w:p>
    <w:p w:rsidR="008971D3" w:rsidP="008971D3">
      <w:pPr>
        <w:pStyle w:val="BodyText"/>
        <w:spacing w:before="240" w:after="0" w:line="240" w:lineRule="auto"/>
        <w:jc w:val="both"/>
        <w:rPr>
          <w:rFonts w:ascii="Calibri" w:eastAsia="Arial" w:hAnsi="Calibri" w:cs="Arial"/>
          <w:color w:val="000000"/>
          <w:sz w:val="24"/>
          <w:szCs w:val="24"/>
        </w:rPr>
      </w:pPr>
      <w:r>
        <w:rPr>
          <w:rFonts w:ascii="Calibri" w:eastAsia="Arial" w:hAnsi="Calibri" w:cs="Arial"/>
          <w:color w:val="000000"/>
          <w:sz w:val="24"/>
          <w:szCs w:val="24"/>
        </w:rPr>
        <w:tab/>
        <w:t>De maneira geral, a propositura busca aumentar o arcabouçou de políticas públicas destinadas ao incentivo à vacinação, como importante método de imunização, consciência coletiva e saúde pública.</w:t>
      </w:r>
    </w:p>
    <w:p w:rsidR="00CD2592" w:rsidP="008971D3">
      <w:pPr>
        <w:pStyle w:val="BodyText"/>
        <w:spacing w:before="240" w:after="0" w:line="240" w:lineRule="auto"/>
        <w:jc w:val="both"/>
        <w:rPr>
          <w:rFonts w:ascii="Calibri" w:eastAsia="Arial" w:hAnsi="Calibri" w:cs="Arial"/>
          <w:color w:val="000000"/>
          <w:sz w:val="24"/>
          <w:szCs w:val="24"/>
        </w:rPr>
      </w:pPr>
    </w:p>
    <w:p w:rsidR="004F041B" w:rsidRPr="002E5402">
      <w:pPr>
        <w:pStyle w:val="BodyText"/>
        <w:spacing w:before="240" w:after="0" w:line="240" w:lineRule="auto"/>
        <w:jc w:val="both"/>
        <w:rPr>
          <w:rFonts w:ascii="Calibri" w:hAnsi="Calibri"/>
          <w:b/>
          <w:color w:val="000000"/>
          <w:sz w:val="24"/>
          <w:szCs w:val="24"/>
        </w:rPr>
      </w:pPr>
      <w:r w:rsidRPr="002E5402">
        <w:rPr>
          <w:rFonts w:ascii="Calibri" w:hAnsi="Calibri"/>
          <w:b/>
          <w:color w:val="000000"/>
          <w:sz w:val="24"/>
          <w:szCs w:val="24"/>
        </w:rPr>
        <w:t>II. Do mérito e conclusões da relatora</w:t>
      </w:r>
    </w:p>
    <w:p w:rsidR="005E722F" w:rsidRPr="002E5402" w:rsidP="005E722F">
      <w:pPr>
        <w:pStyle w:val="BodyText"/>
        <w:spacing w:before="240" w:after="240" w:line="240" w:lineRule="auto"/>
        <w:jc w:val="both"/>
        <w:rPr>
          <w:sz w:val="24"/>
          <w:szCs w:val="24"/>
        </w:rPr>
      </w:pPr>
      <w:r w:rsidRPr="002E5402">
        <w:rPr>
          <w:rFonts w:ascii="Calibri" w:hAnsi="Calibri"/>
          <w:color w:val="000000"/>
          <w:sz w:val="24"/>
          <w:szCs w:val="24"/>
        </w:rPr>
        <w:tab/>
      </w:r>
      <w:r w:rsidRPr="002E5402">
        <w:rPr>
          <w:rFonts w:ascii="Calibri" w:eastAsia="Arial" w:hAnsi="Calibri" w:cs="Arial"/>
          <w:color w:val="000000"/>
          <w:sz w:val="24"/>
          <w:szCs w:val="24"/>
        </w:rPr>
        <w:t>Inicialmente, vale destacar que a presente propositura já tramitou por algumas comissões temáticas desta Casa, recebendo os Pareceres Favoráveis das Comissões de Justiça e Redação e de Educação, Saúde, Cultura, Esporte e Assistência Social, sendo posteriormente encaminhada para presente comissão para apreciação.</w:t>
      </w:r>
    </w:p>
    <w:p w:rsidR="005E722F" w:rsidRPr="002E5402" w:rsidP="005E722F">
      <w:pPr>
        <w:pStyle w:val="BodyText"/>
        <w:spacing w:before="240" w:after="240" w:line="240" w:lineRule="auto"/>
        <w:jc w:val="both"/>
        <w:rPr>
          <w:rFonts w:ascii="Calibri" w:eastAsia="Arial" w:hAnsi="Calibri" w:cs="Arial"/>
          <w:color w:val="000000"/>
          <w:sz w:val="24"/>
          <w:szCs w:val="24"/>
        </w:rPr>
      </w:pPr>
      <w:r w:rsidRPr="002E5402">
        <w:rPr>
          <w:rFonts w:ascii="Calibri" w:eastAsia="Arial" w:hAnsi="Calibri" w:cs="Arial"/>
          <w:color w:val="000000"/>
          <w:sz w:val="24"/>
          <w:szCs w:val="24"/>
        </w:rPr>
        <w:tab/>
        <w:t>De acordo com o art. 37 do Regimento Interno vigente, é de competência desta Comissão Permanente de Finanças e Orçamento se manifestar nas proposituras que possuam cunho orçamentário ou financeiro.</w:t>
      </w:r>
    </w:p>
    <w:p w:rsidR="005E722F" w:rsidRPr="002E5402" w:rsidP="005E722F">
      <w:pPr>
        <w:pStyle w:val="BodyText"/>
        <w:spacing w:before="240" w:after="240" w:line="240" w:lineRule="auto"/>
        <w:ind w:left="2124"/>
        <w:jc w:val="both"/>
        <w:rPr>
          <w:rFonts w:ascii="Calibri" w:eastAsia="Arial" w:hAnsi="Calibri" w:cs="Arial"/>
          <w:i/>
          <w:iCs/>
          <w:color w:val="000000"/>
          <w:sz w:val="24"/>
          <w:szCs w:val="24"/>
        </w:rPr>
      </w:pPr>
      <w:r w:rsidRPr="002E5402">
        <w:rPr>
          <w:rFonts w:ascii="Calibri" w:eastAsia="Arial" w:hAnsi="Calibri" w:cs="Arial"/>
          <w:i/>
          <w:iCs/>
          <w:color w:val="000000"/>
          <w:sz w:val="24"/>
          <w:szCs w:val="24"/>
        </w:rPr>
        <w:t>“[…]</w:t>
      </w:r>
    </w:p>
    <w:p w:rsidR="005E722F" w:rsidRPr="00CD2592" w:rsidP="00CD2592">
      <w:pPr>
        <w:pStyle w:val="BodyText"/>
        <w:spacing w:before="240" w:after="240" w:line="240" w:lineRule="auto"/>
        <w:ind w:left="2124"/>
        <w:jc w:val="both"/>
        <w:rPr>
          <w:sz w:val="24"/>
          <w:szCs w:val="24"/>
        </w:rPr>
      </w:pPr>
      <w:r w:rsidRPr="002E5402">
        <w:rPr>
          <w:rFonts w:ascii="Calibri" w:eastAsia="Arial" w:hAnsi="Calibri" w:cs="Arial"/>
          <w:i/>
          <w:iCs/>
          <w:color w:val="000000"/>
          <w:sz w:val="24"/>
          <w:szCs w:val="24"/>
        </w:rPr>
        <w:t xml:space="preserve">III - proposições referentes à matéria tributária, abertura de créditos suplementares e especiais, empréstimos públicos e as que, direta ou indiretamente, </w:t>
      </w:r>
      <w:r w:rsidRPr="002E5402">
        <w:rPr>
          <w:rFonts w:ascii="Calibri" w:eastAsia="Arial" w:hAnsi="Calibri" w:cs="Arial"/>
          <w:i/>
          <w:iCs/>
          <w:color w:val="000000"/>
          <w:sz w:val="24"/>
          <w:szCs w:val="24"/>
          <w:u w:val="single"/>
        </w:rPr>
        <w:t>alterem a despesa e/ou a receita do Município</w:t>
      </w:r>
      <w:r w:rsidRPr="002E5402">
        <w:rPr>
          <w:rFonts w:ascii="Calibri" w:eastAsia="Arial" w:hAnsi="Calibri" w:cs="Arial"/>
          <w:i/>
          <w:iCs/>
          <w:color w:val="000000"/>
          <w:sz w:val="24"/>
          <w:szCs w:val="24"/>
        </w:rPr>
        <w:t>, acarretem responsabilidade ao erário municipal ou interessem ao crédito público;</w:t>
      </w:r>
      <w:r w:rsidR="00900E14">
        <w:rPr>
          <w:rFonts w:ascii="Calibri" w:eastAsia="Arial" w:hAnsi="Calibri" w:cs="Arial"/>
          <w:i/>
          <w:iCs/>
          <w:color w:val="000000"/>
          <w:sz w:val="24"/>
          <w:szCs w:val="24"/>
        </w:rPr>
        <w:t xml:space="preserve"> </w:t>
      </w:r>
      <w:bookmarkStart w:id="0" w:name="_GoBack"/>
      <w:bookmarkEnd w:id="0"/>
      <w:r w:rsidRPr="002E5402">
        <w:rPr>
          <w:rFonts w:ascii="Calibri" w:eastAsia="Arial" w:hAnsi="Calibri" w:cs="Arial"/>
          <w:i/>
          <w:iCs/>
          <w:color w:val="000000"/>
          <w:sz w:val="24"/>
          <w:szCs w:val="24"/>
        </w:rPr>
        <w:t>[…]”.</w:t>
      </w:r>
    </w:p>
    <w:p w:rsidR="005E722F" w:rsidRPr="002E5402" w:rsidP="00034D4D">
      <w:pPr>
        <w:pStyle w:val="BodyText"/>
        <w:spacing w:before="240" w:after="240" w:line="240" w:lineRule="auto"/>
        <w:jc w:val="both"/>
        <w:rPr>
          <w:rFonts w:ascii="Calibri" w:eastAsia="Arial" w:hAnsi="Calibri" w:cs="Arial"/>
          <w:color w:val="000000"/>
          <w:sz w:val="24"/>
          <w:szCs w:val="24"/>
        </w:rPr>
      </w:pPr>
      <w:r>
        <w:rPr>
          <w:rFonts w:ascii="Calibri" w:eastAsia="Arial" w:hAnsi="Calibri" w:cs="Arial"/>
          <w:color w:val="000000"/>
          <w:sz w:val="24"/>
          <w:szCs w:val="24"/>
        </w:rPr>
        <w:tab/>
        <w:t>No tocante</w:t>
      </w:r>
      <w:r w:rsidRPr="002E5402">
        <w:rPr>
          <w:rFonts w:ascii="Calibri" w:eastAsia="Arial" w:hAnsi="Calibri" w:cs="Arial"/>
          <w:color w:val="000000"/>
          <w:sz w:val="24"/>
          <w:szCs w:val="24"/>
        </w:rPr>
        <w:t xml:space="preserve"> às questões financeiras, de modo geral não observamos dispêndios consideráveis, </w:t>
      </w:r>
      <w:r w:rsidRPr="002E5402" w:rsidR="00A87318">
        <w:rPr>
          <w:rFonts w:ascii="Calibri" w:eastAsia="Arial" w:hAnsi="Calibri" w:cs="Arial"/>
          <w:color w:val="000000"/>
          <w:sz w:val="24"/>
          <w:szCs w:val="24"/>
        </w:rPr>
        <w:t>tendo em</w:t>
      </w:r>
      <w:r w:rsidRPr="002E5402" w:rsidR="00E150C8">
        <w:rPr>
          <w:rFonts w:ascii="Calibri" w:eastAsia="Arial" w:hAnsi="Calibri" w:cs="Arial"/>
          <w:color w:val="000000"/>
          <w:sz w:val="24"/>
          <w:szCs w:val="24"/>
        </w:rPr>
        <w:t xml:space="preserve"> vista que o projeto pode ser executado dentro da própria estrutura da rede </w:t>
      </w:r>
      <w:r>
        <w:rPr>
          <w:rFonts w:ascii="Calibri" w:eastAsia="Arial" w:hAnsi="Calibri" w:cs="Arial"/>
          <w:color w:val="000000"/>
          <w:sz w:val="24"/>
          <w:szCs w:val="24"/>
        </w:rPr>
        <w:t>pública de saúde e comunicação da Prefeitura</w:t>
      </w:r>
      <w:r w:rsidRPr="002E5402" w:rsidR="00E150C8">
        <w:rPr>
          <w:rFonts w:ascii="Calibri" w:eastAsia="Arial" w:hAnsi="Calibri" w:cs="Arial"/>
          <w:color w:val="000000"/>
          <w:sz w:val="24"/>
          <w:szCs w:val="24"/>
        </w:rPr>
        <w:t>.</w:t>
      </w:r>
      <w:r>
        <w:rPr>
          <w:rFonts w:ascii="Calibri" w:eastAsia="Arial" w:hAnsi="Calibri" w:cs="Arial"/>
          <w:color w:val="000000"/>
          <w:sz w:val="24"/>
          <w:szCs w:val="24"/>
        </w:rPr>
        <w:t xml:space="preserve"> Além do mais, a municipalidade </w:t>
      </w:r>
      <w:r w:rsidR="00034D4D">
        <w:rPr>
          <w:rFonts w:ascii="Calibri" w:eastAsia="Arial" w:hAnsi="Calibri" w:cs="Arial"/>
          <w:color w:val="000000"/>
          <w:sz w:val="24"/>
          <w:szCs w:val="24"/>
        </w:rPr>
        <w:t>recebe esporadicamente recursos advindos da União e Estado para fins de melhorias das campanhas de vacinação na tentativa de aumentar a cobertura vacinal da população.</w:t>
      </w:r>
    </w:p>
    <w:p w:rsidR="00A87318" w:rsidRPr="002E5402" w:rsidP="00A87318">
      <w:pPr>
        <w:pStyle w:val="BodyText"/>
        <w:spacing w:before="240" w:after="240" w:line="240" w:lineRule="auto"/>
        <w:ind w:firstLine="708"/>
        <w:jc w:val="both"/>
        <w:rPr>
          <w:sz w:val="24"/>
          <w:szCs w:val="24"/>
        </w:rPr>
      </w:pPr>
      <w:r w:rsidRPr="002E5402">
        <w:rPr>
          <w:rFonts w:ascii="Calibri" w:eastAsia="Arial" w:hAnsi="Calibri" w:cs="Arial"/>
          <w:color w:val="000000"/>
          <w:sz w:val="24"/>
          <w:szCs w:val="24"/>
        </w:rPr>
        <w:t>V</w:t>
      </w:r>
      <w:r w:rsidRPr="002E5402">
        <w:rPr>
          <w:rFonts w:ascii="Calibri" w:eastAsia="Arial" w:hAnsi="Calibri" w:cs="Arial"/>
          <w:color w:val="000000"/>
          <w:sz w:val="24"/>
          <w:szCs w:val="24"/>
        </w:rPr>
        <w:t xml:space="preserve">ale ressaltar </w:t>
      </w:r>
      <w:r w:rsidR="00034D4D">
        <w:rPr>
          <w:rFonts w:ascii="Calibri" w:eastAsia="Arial" w:hAnsi="Calibri" w:cs="Arial"/>
          <w:color w:val="000000"/>
          <w:sz w:val="24"/>
          <w:szCs w:val="24"/>
        </w:rPr>
        <w:t xml:space="preserve">que </w:t>
      </w:r>
      <w:r w:rsidRPr="002E5402">
        <w:rPr>
          <w:rFonts w:ascii="Calibri" w:eastAsia="Arial" w:hAnsi="Calibri" w:cs="Arial"/>
          <w:color w:val="000000"/>
          <w:sz w:val="24"/>
          <w:szCs w:val="24"/>
        </w:rPr>
        <w:t>o</w:t>
      </w:r>
      <w:r w:rsidRPr="002E5402">
        <w:rPr>
          <w:rFonts w:ascii="Calibri" w:eastAsia="Arial" w:hAnsi="Calibri" w:cs="Arial"/>
          <w:iCs/>
          <w:color w:val="000000"/>
          <w:sz w:val="24"/>
          <w:szCs w:val="24"/>
        </w:rPr>
        <w:t xml:space="preserve">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deflagrar processo legislativo, de modo concorrente nestes casos, entretanto, ficará a cargo do poder discricionário do Executivo, observando sua programação orçamentária e conveniência, a execução da referida Lei. É recomendável nestes casos, que o legislador faça as alterações e previsões necessárias nas peças orçamentárias (PPA</w:t>
      </w:r>
      <w:r w:rsidRPr="002E5402" w:rsidR="00462883">
        <w:rPr>
          <w:rFonts w:ascii="Calibri" w:eastAsia="Arial" w:hAnsi="Calibri" w:cs="Arial"/>
          <w:iCs/>
          <w:color w:val="000000"/>
          <w:sz w:val="24"/>
          <w:szCs w:val="24"/>
        </w:rPr>
        <w:t>,</w:t>
      </w:r>
      <w:r w:rsidRPr="002E5402">
        <w:rPr>
          <w:rFonts w:ascii="Calibri" w:eastAsia="Arial" w:hAnsi="Calibri" w:cs="Arial"/>
          <w:iCs/>
          <w:color w:val="000000"/>
          <w:sz w:val="24"/>
          <w:szCs w:val="24"/>
        </w:rPr>
        <w:t xml:space="preserve"> LDO e LOA), a fim de garantir a execução dos projetos que tenham cunho financeiro.</w:t>
      </w:r>
    </w:p>
    <w:p w:rsidR="005E722F" w:rsidP="005E722F">
      <w:pPr>
        <w:pStyle w:val="BodyText"/>
        <w:spacing w:before="240" w:after="240" w:line="240" w:lineRule="auto"/>
        <w:jc w:val="both"/>
        <w:rPr>
          <w:rFonts w:ascii="Calibri" w:eastAsia="Arial" w:hAnsi="Calibri" w:cs="Arial"/>
          <w:iCs/>
          <w:color w:val="000000"/>
          <w:sz w:val="24"/>
          <w:szCs w:val="24"/>
        </w:rPr>
      </w:pPr>
      <w:r w:rsidRPr="002E5402">
        <w:rPr>
          <w:rFonts w:ascii="Calibri" w:eastAsia="Arial" w:hAnsi="Calibri" w:cs="Arial"/>
          <w:iCs/>
          <w:color w:val="000000"/>
          <w:sz w:val="24"/>
          <w:szCs w:val="24"/>
        </w:rPr>
        <w:tab/>
        <w:t>Diante de todo exposto, ressalvando que esta comissão se manifesta apenas no quesito financeiro e orçamentário</w:t>
      </w:r>
      <w:r w:rsidR="00034D4D">
        <w:rPr>
          <w:rFonts w:ascii="Calibri" w:eastAsia="Arial" w:hAnsi="Calibri" w:cs="Arial"/>
          <w:iCs/>
          <w:color w:val="000000"/>
          <w:sz w:val="24"/>
          <w:szCs w:val="24"/>
        </w:rPr>
        <w:t>, considerando a importância da proposta para a saúde pública</w:t>
      </w:r>
      <w:r w:rsidRPr="002E5402">
        <w:rPr>
          <w:rFonts w:ascii="Calibri" w:eastAsia="Arial" w:hAnsi="Calibri" w:cs="Arial"/>
          <w:iCs/>
          <w:color w:val="000000"/>
          <w:sz w:val="24"/>
          <w:szCs w:val="24"/>
        </w:rPr>
        <w:t>, não se verifica óbices para continuidade da proposta, encaminhado o projeto para deliberação pelo Douto Plenário.</w:t>
      </w:r>
    </w:p>
    <w:p w:rsidR="00034D4D" w:rsidRPr="002E5402" w:rsidP="005E722F">
      <w:pPr>
        <w:pStyle w:val="BodyText"/>
        <w:spacing w:before="240" w:after="240" w:line="240" w:lineRule="auto"/>
        <w:jc w:val="both"/>
        <w:rPr>
          <w:rFonts w:ascii="Calibri" w:eastAsia="Arial" w:hAnsi="Calibri" w:cs="Arial"/>
          <w:iCs/>
          <w:color w:val="000000"/>
          <w:sz w:val="24"/>
          <w:szCs w:val="24"/>
        </w:rPr>
      </w:pPr>
    </w:p>
    <w:p w:rsidR="004F041B" w:rsidRPr="002E5402">
      <w:pPr>
        <w:pStyle w:val="BodyText"/>
        <w:spacing w:before="240" w:after="0" w:line="240" w:lineRule="auto"/>
        <w:jc w:val="both"/>
        <w:rPr>
          <w:rFonts w:ascii="Calibri" w:hAnsi="Calibri"/>
          <w:b/>
          <w:color w:val="000000"/>
          <w:sz w:val="24"/>
          <w:szCs w:val="24"/>
        </w:rPr>
      </w:pPr>
      <w:r w:rsidRPr="002E5402">
        <w:rPr>
          <w:rFonts w:ascii="Calibri" w:hAnsi="Calibri"/>
          <w:b/>
          <w:color w:val="000000"/>
          <w:sz w:val="24"/>
          <w:szCs w:val="24"/>
        </w:rPr>
        <w:t>III. Substitutivos, Emendas ou subemendas ao Projeto</w:t>
      </w:r>
    </w:p>
    <w:p w:rsidR="004F041B">
      <w:pPr>
        <w:pStyle w:val="BodyText"/>
        <w:spacing w:before="240" w:after="0" w:line="240" w:lineRule="auto"/>
        <w:jc w:val="both"/>
        <w:rPr>
          <w:rFonts w:ascii="Calibri" w:hAnsi="Calibri"/>
          <w:color w:val="000000"/>
          <w:sz w:val="24"/>
          <w:szCs w:val="24"/>
        </w:rPr>
      </w:pPr>
      <w:r w:rsidRPr="002E5402">
        <w:rPr>
          <w:rFonts w:ascii="Calibri" w:hAnsi="Calibri"/>
          <w:color w:val="000000"/>
          <w:sz w:val="24"/>
          <w:szCs w:val="24"/>
        </w:rPr>
        <w:tab/>
      </w:r>
      <w:r w:rsidRPr="002E5402" w:rsidR="003F7DA3">
        <w:rPr>
          <w:rFonts w:ascii="Calibri" w:hAnsi="Calibri"/>
          <w:color w:val="000000"/>
          <w:sz w:val="24"/>
          <w:szCs w:val="24"/>
        </w:rPr>
        <w:t>Esta relatoria não possuí</w:t>
      </w:r>
      <w:r w:rsidRPr="002E5402" w:rsidR="000D0DF4">
        <w:rPr>
          <w:rFonts w:ascii="Calibri" w:hAnsi="Calibri"/>
          <w:color w:val="000000"/>
          <w:sz w:val="24"/>
          <w:szCs w:val="24"/>
        </w:rPr>
        <w:t xml:space="preserve"> emendas a propor</w:t>
      </w:r>
      <w:r w:rsidRPr="002E5402" w:rsidR="008C5E21">
        <w:rPr>
          <w:rFonts w:ascii="Calibri" w:hAnsi="Calibri"/>
          <w:color w:val="000000"/>
          <w:sz w:val="24"/>
          <w:szCs w:val="24"/>
        </w:rPr>
        <w:t>.</w:t>
      </w:r>
    </w:p>
    <w:p w:rsidR="004F041B" w:rsidRPr="002E5402">
      <w:pPr>
        <w:pStyle w:val="BodyText"/>
        <w:spacing w:before="240" w:after="0" w:line="240" w:lineRule="auto"/>
        <w:jc w:val="both"/>
        <w:rPr>
          <w:sz w:val="24"/>
          <w:szCs w:val="24"/>
        </w:rPr>
      </w:pPr>
      <w:r w:rsidRPr="002E5402">
        <w:rPr>
          <w:rFonts w:ascii="Calibri" w:hAnsi="Calibri"/>
          <w:b/>
          <w:color w:val="000000"/>
          <w:sz w:val="24"/>
          <w:szCs w:val="24"/>
        </w:rPr>
        <w:t>IV. Decisão da Relatora</w:t>
      </w:r>
    </w:p>
    <w:p w:rsidR="004F041B" w:rsidRPr="002E5402">
      <w:pPr>
        <w:pStyle w:val="BodyText"/>
        <w:spacing w:before="240" w:after="0" w:line="240" w:lineRule="auto"/>
        <w:jc w:val="both"/>
        <w:rPr>
          <w:rFonts w:ascii="Calibri" w:hAnsi="Calibri"/>
          <w:color w:val="000000"/>
          <w:sz w:val="24"/>
          <w:szCs w:val="24"/>
          <w:shd w:val="clear" w:color="auto" w:fill="FFFFFF"/>
        </w:rPr>
      </w:pPr>
      <w:r w:rsidRPr="002E5402">
        <w:rPr>
          <w:rFonts w:ascii="Calibri" w:hAnsi="Calibri"/>
          <w:color w:val="000000"/>
          <w:sz w:val="24"/>
          <w:szCs w:val="24"/>
        </w:rPr>
        <w:tab/>
      </w:r>
      <w:r w:rsidRPr="002E5402" w:rsidR="000D0DF4">
        <w:rPr>
          <w:rFonts w:ascii="Calibri" w:hAnsi="Calibri"/>
          <w:color w:val="000000"/>
          <w:sz w:val="24"/>
          <w:szCs w:val="24"/>
        </w:rPr>
        <w:t>Diante do exposto, e</w:t>
      </w:r>
      <w:r w:rsidRPr="002E5402" w:rsidR="000D0DF4">
        <w:rPr>
          <w:rFonts w:ascii="Calibri" w:hAnsi="Calibri"/>
          <w:color w:val="000000"/>
          <w:sz w:val="24"/>
          <w:szCs w:val="24"/>
          <w:shd w:val="clear" w:color="auto" w:fill="FFFFFF"/>
        </w:rPr>
        <w:t>sta r</w:t>
      </w:r>
      <w:r w:rsidRPr="002E5402">
        <w:rPr>
          <w:rFonts w:ascii="Calibri" w:hAnsi="Calibri"/>
          <w:color w:val="000000"/>
          <w:sz w:val="24"/>
          <w:szCs w:val="24"/>
          <w:shd w:val="clear" w:color="auto" w:fill="FFFFFF"/>
        </w:rPr>
        <w:t>elatoria considera que a presente propositura</w:t>
      </w:r>
      <w:r w:rsidRPr="002E5402" w:rsidR="002E5402">
        <w:rPr>
          <w:rFonts w:ascii="Calibri" w:hAnsi="Calibri"/>
          <w:color w:val="000000"/>
          <w:sz w:val="24"/>
          <w:szCs w:val="24"/>
          <w:shd w:val="clear" w:color="auto" w:fill="FFFFFF"/>
        </w:rPr>
        <w:t xml:space="preserve"> não apresenta óbices à sua continuidade</w:t>
      </w:r>
      <w:r w:rsidRPr="002E5402">
        <w:rPr>
          <w:rFonts w:ascii="Calibri" w:hAnsi="Calibri"/>
          <w:color w:val="000000"/>
          <w:sz w:val="24"/>
          <w:szCs w:val="24"/>
          <w:shd w:val="clear" w:color="auto" w:fill="FFFFFF"/>
        </w:rPr>
        <w:t>, recebendo parecer FAVORÁVEL</w:t>
      </w:r>
      <w:r w:rsidRPr="002E5402">
        <w:rPr>
          <w:rFonts w:ascii="Calibri" w:hAnsi="Calibri"/>
          <w:color w:val="000000"/>
          <w:sz w:val="24"/>
          <w:szCs w:val="24"/>
        </w:rPr>
        <w:t>.</w:t>
      </w:r>
    </w:p>
    <w:p w:rsidR="00034D4D">
      <w:pPr>
        <w:pStyle w:val="BodyText"/>
        <w:spacing w:before="240" w:after="0" w:line="240" w:lineRule="auto"/>
        <w:jc w:val="center"/>
        <w:rPr>
          <w:rFonts w:ascii="Calibri" w:hAnsi="Calibri"/>
          <w:color w:val="000000"/>
          <w:sz w:val="24"/>
          <w:szCs w:val="24"/>
          <w:shd w:val="clear" w:color="auto" w:fill="FFFFFF"/>
        </w:rPr>
      </w:pPr>
    </w:p>
    <w:p w:rsidR="004F041B" w:rsidRPr="002E5402">
      <w:pPr>
        <w:pStyle w:val="BodyText"/>
        <w:spacing w:before="240" w:after="0" w:line="240" w:lineRule="auto"/>
        <w:jc w:val="center"/>
        <w:rPr>
          <w:sz w:val="24"/>
          <w:szCs w:val="24"/>
        </w:rPr>
      </w:pPr>
      <w:r>
        <w:rPr>
          <w:rFonts w:ascii="Calibri" w:hAnsi="Calibri"/>
          <w:color w:val="000000"/>
          <w:sz w:val="24"/>
          <w:szCs w:val="24"/>
          <w:shd w:val="clear" w:color="auto" w:fill="FFFFFF"/>
        </w:rPr>
        <w:t>Sala das Comissões, em 23</w:t>
      </w:r>
      <w:r w:rsidRPr="002E5402" w:rsidR="003F7DA3">
        <w:rPr>
          <w:rFonts w:ascii="Calibri" w:hAnsi="Calibri"/>
          <w:color w:val="000000"/>
          <w:sz w:val="24"/>
          <w:szCs w:val="24"/>
          <w:shd w:val="clear" w:color="auto" w:fill="FFFFFF"/>
        </w:rPr>
        <w:t xml:space="preserve"> de </w:t>
      </w:r>
      <w:r>
        <w:rPr>
          <w:rFonts w:ascii="Calibri" w:hAnsi="Calibri"/>
          <w:color w:val="000000"/>
          <w:sz w:val="24"/>
          <w:szCs w:val="24"/>
          <w:shd w:val="clear" w:color="auto" w:fill="FFFFFF"/>
        </w:rPr>
        <w:t>abril</w:t>
      </w:r>
      <w:r w:rsidRPr="002E5402" w:rsidR="00414F97">
        <w:rPr>
          <w:rFonts w:ascii="Calibri" w:hAnsi="Calibri"/>
          <w:color w:val="000000"/>
          <w:sz w:val="24"/>
          <w:szCs w:val="24"/>
          <w:shd w:val="clear" w:color="auto" w:fill="FFFFFF"/>
        </w:rPr>
        <w:t xml:space="preserve"> de 202</w:t>
      </w:r>
      <w:r w:rsidRPr="002E5402" w:rsidR="00462883">
        <w:rPr>
          <w:rFonts w:ascii="Calibri" w:hAnsi="Calibri"/>
          <w:color w:val="000000"/>
          <w:sz w:val="24"/>
          <w:szCs w:val="24"/>
          <w:shd w:val="clear" w:color="auto" w:fill="FFFFFF"/>
        </w:rPr>
        <w:t>5</w:t>
      </w:r>
      <w:r w:rsidRPr="002E5402" w:rsidR="00414F97">
        <w:rPr>
          <w:rFonts w:ascii="Calibri" w:hAnsi="Calibri"/>
          <w:color w:val="000000"/>
          <w:sz w:val="24"/>
          <w:szCs w:val="24"/>
          <w:shd w:val="clear" w:color="auto" w:fill="FFFFFF"/>
        </w:rPr>
        <w:t>.</w:t>
      </w:r>
    </w:p>
    <w:p w:rsidR="003F7DA3" w:rsidRPr="002E5402">
      <w:pPr>
        <w:pStyle w:val="BodyText"/>
        <w:spacing w:before="238" w:after="0" w:line="240" w:lineRule="auto"/>
        <w:contextualSpacing/>
        <w:jc w:val="center"/>
        <w:rPr>
          <w:rFonts w:ascii="Calibri" w:hAnsi="Calibri"/>
          <w:b/>
          <w:color w:val="000000"/>
          <w:sz w:val="24"/>
          <w:szCs w:val="24"/>
        </w:rPr>
      </w:pPr>
    </w:p>
    <w:p w:rsidR="00462883">
      <w:pPr>
        <w:pStyle w:val="BodyText"/>
        <w:spacing w:before="238" w:after="0" w:line="240" w:lineRule="auto"/>
        <w:contextualSpacing/>
        <w:jc w:val="center"/>
        <w:rPr>
          <w:rFonts w:ascii="Calibri" w:hAnsi="Calibri"/>
          <w:i/>
          <w:color w:val="000000"/>
          <w:sz w:val="24"/>
          <w:szCs w:val="24"/>
        </w:rPr>
      </w:pPr>
    </w:p>
    <w:p w:rsidR="00034D4D" w:rsidRPr="002E5402">
      <w:pPr>
        <w:pStyle w:val="BodyText"/>
        <w:spacing w:before="238" w:after="0" w:line="240" w:lineRule="auto"/>
        <w:contextualSpacing/>
        <w:jc w:val="center"/>
        <w:rPr>
          <w:rFonts w:ascii="Calibri" w:hAnsi="Calibri"/>
          <w:i/>
          <w:color w:val="000000"/>
          <w:sz w:val="24"/>
          <w:szCs w:val="24"/>
        </w:rPr>
      </w:pPr>
    </w:p>
    <w:p w:rsidR="003F7DA3" w:rsidRPr="002E5402">
      <w:pPr>
        <w:pStyle w:val="BodyText"/>
        <w:spacing w:before="238" w:after="0" w:line="240" w:lineRule="auto"/>
        <w:contextualSpacing/>
        <w:jc w:val="center"/>
        <w:rPr>
          <w:rFonts w:ascii="Calibri" w:hAnsi="Calibri"/>
          <w:i/>
          <w:color w:val="000000"/>
          <w:sz w:val="24"/>
          <w:szCs w:val="24"/>
        </w:rPr>
      </w:pPr>
      <w:r w:rsidRPr="002E5402">
        <w:rPr>
          <w:rFonts w:ascii="Calibri" w:hAnsi="Calibri"/>
          <w:i/>
          <w:color w:val="000000"/>
          <w:sz w:val="24"/>
          <w:szCs w:val="24"/>
        </w:rPr>
        <w:t>(</w:t>
      </w:r>
      <w:r w:rsidRPr="002E5402">
        <w:rPr>
          <w:rFonts w:ascii="Calibri" w:hAnsi="Calibri"/>
          <w:i/>
          <w:color w:val="000000"/>
          <w:sz w:val="24"/>
          <w:szCs w:val="24"/>
        </w:rPr>
        <w:t>assinado</w:t>
      </w:r>
      <w:r w:rsidRPr="002E5402">
        <w:rPr>
          <w:rFonts w:ascii="Calibri" w:hAnsi="Calibri"/>
          <w:i/>
          <w:color w:val="000000"/>
          <w:sz w:val="24"/>
          <w:szCs w:val="24"/>
        </w:rPr>
        <w:t xml:space="preserve"> digitalmente)</w:t>
      </w:r>
    </w:p>
    <w:p w:rsidR="004F041B" w:rsidRPr="002E5402">
      <w:pPr>
        <w:pStyle w:val="BodyText"/>
        <w:spacing w:before="238" w:after="0" w:line="240" w:lineRule="auto"/>
        <w:contextualSpacing/>
        <w:jc w:val="center"/>
        <w:rPr>
          <w:rFonts w:ascii="Calibri" w:hAnsi="Calibri"/>
          <w:b/>
          <w:color w:val="000000"/>
          <w:sz w:val="24"/>
          <w:szCs w:val="24"/>
        </w:rPr>
      </w:pPr>
      <w:r w:rsidRPr="002E5402">
        <w:rPr>
          <w:rFonts w:ascii="Calibri" w:hAnsi="Calibri"/>
          <w:b/>
          <w:color w:val="000000"/>
          <w:sz w:val="24"/>
          <w:szCs w:val="24"/>
        </w:rPr>
        <w:t>Vereadora Mara Cristina Choquetta</w:t>
      </w:r>
    </w:p>
    <w:p w:rsidR="0039598F" w:rsidRPr="002E5402" w:rsidP="00185602">
      <w:pPr>
        <w:pStyle w:val="BodyText"/>
        <w:spacing w:before="238" w:after="0" w:line="240" w:lineRule="auto"/>
        <w:contextualSpacing/>
        <w:jc w:val="center"/>
        <w:rPr>
          <w:rFonts w:ascii="Calibri" w:hAnsi="Calibri"/>
          <w:b/>
          <w:color w:val="000000"/>
          <w:sz w:val="24"/>
          <w:szCs w:val="24"/>
        </w:rPr>
      </w:pPr>
      <w:r w:rsidRPr="002E5402">
        <w:rPr>
          <w:rFonts w:ascii="Calibri" w:hAnsi="Calibri"/>
          <w:b/>
          <w:color w:val="000000"/>
          <w:sz w:val="24"/>
          <w:szCs w:val="24"/>
        </w:rPr>
        <w:t xml:space="preserve">Presidente/ </w:t>
      </w:r>
      <w:r w:rsidRPr="002E5402" w:rsidR="002E5402">
        <w:rPr>
          <w:rFonts w:ascii="Calibri" w:hAnsi="Calibri"/>
          <w:b/>
          <w:color w:val="000000"/>
          <w:sz w:val="24"/>
          <w:szCs w:val="24"/>
        </w:rPr>
        <w:t>R</w:t>
      </w:r>
      <w:r w:rsidRPr="002E5402" w:rsidR="00414F97">
        <w:rPr>
          <w:rFonts w:ascii="Calibri" w:hAnsi="Calibri"/>
          <w:b/>
          <w:color w:val="000000"/>
          <w:sz w:val="24"/>
          <w:szCs w:val="24"/>
        </w:rPr>
        <w:t xml:space="preserve">elatora </w:t>
      </w:r>
    </w:p>
    <w:p w:rsidR="004F041B" w:rsidRPr="002E5402" w:rsidP="00462883">
      <w:pPr>
        <w:jc w:val="center"/>
        <w:rPr>
          <w:rFonts w:ascii="Calibri" w:hAnsi="Calibri"/>
          <w:b/>
          <w:color w:val="000000"/>
          <w:sz w:val="24"/>
          <w:szCs w:val="24"/>
        </w:rPr>
      </w:pPr>
      <w:r w:rsidRPr="002E5402">
        <w:rPr>
          <w:sz w:val="24"/>
          <w:szCs w:val="24"/>
        </w:rPr>
        <w:br w:type="page"/>
      </w:r>
      <w:r w:rsidRPr="002E5402" w:rsidR="00462883">
        <w:rPr>
          <w:rFonts w:ascii="Calibri" w:hAnsi="Calibri"/>
          <w:b/>
          <w:color w:val="000000"/>
          <w:sz w:val="24"/>
          <w:szCs w:val="24"/>
        </w:rPr>
        <w:t xml:space="preserve">PARECER FAVORÁVEL DA COMISSÃO </w:t>
      </w:r>
      <w:r w:rsidRPr="002E5402">
        <w:rPr>
          <w:rFonts w:ascii="Calibri" w:hAnsi="Calibri"/>
          <w:b/>
          <w:color w:val="000000"/>
          <w:sz w:val="24"/>
          <w:szCs w:val="24"/>
        </w:rPr>
        <w:t>DE FINANÇAS E ORÇAMENTO.</w:t>
      </w:r>
    </w:p>
    <w:p w:rsidR="004F041B" w:rsidRPr="002E5402">
      <w:pPr>
        <w:pStyle w:val="BodyText"/>
        <w:spacing w:before="240" w:after="0" w:line="240" w:lineRule="auto"/>
        <w:jc w:val="both"/>
        <w:rPr>
          <w:sz w:val="24"/>
          <w:szCs w:val="24"/>
        </w:rPr>
      </w:pPr>
      <w:r w:rsidRPr="002E5402">
        <w:rPr>
          <w:rFonts w:ascii="Calibri" w:hAnsi="Calibri"/>
          <w:color w:val="000000"/>
          <w:sz w:val="24"/>
          <w:szCs w:val="24"/>
        </w:rPr>
        <w:t>Seguindo o Voto exarado pela Relatora e confor</w:t>
      </w:r>
      <w:r w:rsidRPr="002E5402" w:rsidR="00835DFF">
        <w:rPr>
          <w:rFonts w:ascii="Calibri" w:hAnsi="Calibri"/>
          <w:color w:val="000000"/>
          <w:sz w:val="24"/>
          <w:szCs w:val="24"/>
        </w:rPr>
        <w:t>m</w:t>
      </w:r>
      <w:r w:rsidRPr="002E5402" w:rsidR="00462883">
        <w:rPr>
          <w:rFonts w:ascii="Calibri" w:hAnsi="Calibri"/>
          <w:color w:val="000000"/>
          <w:sz w:val="24"/>
          <w:szCs w:val="24"/>
        </w:rPr>
        <w:t>e determina o artigo</w:t>
      </w:r>
      <w:r w:rsidRPr="002E5402" w:rsidR="0039598F">
        <w:rPr>
          <w:rFonts w:ascii="Calibri" w:hAnsi="Calibri"/>
          <w:color w:val="000000"/>
          <w:sz w:val="24"/>
          <w:szCs w:val="24"/>
        </w:rPr>
        <w:t xml:space="preserve"> </w:t>
      </w:r>
      <w:r w:rsidRPr="002E5402" w:rsidR="00462883">
        <w:rPr>
          <w:rFonts w:ascii="Calibri" w:hAnsi="Calibri"/>
          <w:color w:val="000000"/>
          <w:sz w:val="24"/>
          <w:szCs w:val="24"/>
        </w:rPr>
        <w:t>37</w:t>
      </w:r>
      <w:r w:rsidRPr="002E5402">
        <w:rPr>
          <w:rFonts w:ascii="Calibri" w:hAnsi="Calibri"/>
          <w:color w:val="000000"/>
          <w:sz w:val="24"/>
          <w:szCs w:val="24"/>
        </w:rPr>
        <w:t xml:space="preserve"> da Resolução n.º 276 de 09 de novembro de 2.010,</w:t>
      </w:r>
      <w:r w:rsidRPr="002E5402" w:rsidR="0039598F">
        <w:rPr>
          <w:sz w:val="24"/>
          <w:szCs w:val="24"/>
        </w:rPr>
        <w:t xml:space="preserve"> </w:t>
      </w:r>
      <w:r w:rsidRPr="002E5402">
        <w:rPr>
          <w:rFonts w:ascii="Calibri" w:hAnsi="Calibri"/>
          <w:color w:val="000000"/>
          <w:sz w:val="24"/>
          <w:szCs w:val="24"/>
        </w:rPr>
        <w:t>a Comissão de</w:t>
      </w:r>
      <w:r w:rsidRPr="002E5402" w:rsidR="00462883">
        <w:rPr>
          <w:rFonts w:ascii="Calibri" w:hAnsi="Calibri"/>
          <w:color w:val="000000"/>
          <w:sz w:val="24"/>
          <w:szCs w:val="24"/>
        </w:rPr>
        <w:t xml:space="preserve"> </w:t>
      </w:r>
      <w:r w:rsidRPr="002E5402">
        <w:rPr>
          <w:rFonts w:ascii="Calibri" w:hAnsi="Calibri"/>
          <w:color w:val="000000"/>
          <w:sz w:val="24"/>
          <w:szCs w:val="24"/>
        </w:rPr>
        <w:t xml:space="preserve">Finanças e Orçamento, formaliza o presente </w:t>
      </w:r>
      <w:r w:rsidRPr="002E5402">
        <w:rPr>
          <w:rFonts w:ascii="Calibri" w:hAnsi="Calibri"/>
          <w:b/>
          <w:color w:val="000000"/>
          <w:sz w:val="24"/>
          <w:szCs w:val="24"/>
        </w:rPr>
        <w:t>PARECER FAVORÁVEL</w:t>
      </w:r>
      <w:r w:rsidRPr="002E5402">
        <w:rPr>
          <w:rFonts w:ascii="Calibri" w:hAnsi="Calibri"/>
          <w:color w:val="000000"/>
          <w:sz w:val="24"/>
          <w:szCs w:val="24"/>
        </w:rPr>
        <w:t>.</w:t>
      </w:r>
    </w:p>
    <w:p w:rsidR="004F041B" w:rsidRPr="002E5402">
      <w:pPr>
        <w:pStyle w:val="BodyText"/>
        <w:spacing w:before="240" w:after="0" w:line="240" w:lineRule="auto"/>
        <w:jc w:val="center"/>
        <w:rPr>
          <w:sz w:val="24"/>
          <w:szCs w:val="24"/>
        </w:rPr>
      </w:pPr>
      <w:r w:rsidRPr="002E5402">
        <w:rPr>
          <w:rFonts w:ascii="Calibri" w:hAnsi="Calibri"/>
          <w:color w:val="000000"/>
          <w:sz w:val="24"/>
          <w:szCs w:val="24"/>
          <w:shd w:val="clear" w:color="auto" w:fill="FFFFFF"/>
        </w:rPr>
        <w:t xml:space="preserve">Sala das Comissões, em </w:t>
      </w:r>
      <w:r w:rsidR="00034D4D">
        <w:rPr>
          <w:rFonts w:ascii="Calibri" w:hAnsi="Calibri"/>
          <w:color w:val="000000"/>
          <w:sz w:val="24"/>
          <w:szCs w:val="24"/>
          <w:shd w:val="clear" w:color="auto" w:fill="FFFFFF"/>
        </w:rPr>
        <w:t>23</w:t>
      </w:r>
      <w:r w:rsidRPr="002E5402" w:rsidR="00414F97">
        <w:rPr>
          <w:rFonts w:ascii="Calibri" w:hAnsi="Calibri"/>
          <w:color w:val="000000"/>
          <w:sz w:val="24"/>
          <w:szCs w:val="24"/>
          <w:shd w:val="clear" w:color="auto" w:fill="FFFFFF"/>
        </w:rPr>
        <w:t xml:space="preserve"> de </w:t>
      </w:r>
      <w:r w:rsidR="00034D4D">
        <w:rPr>
          <w:rFonts w:ascii="Calibri" w:hAnsi="Calibri"/>
          <w:color w:val="000000"/>
          <w:sz w:val="24"/>
          <w:szCs w:val="24"/>
          <w:shd w:val="clear" w:color="auto" w:fill="FFFFFF"/>
        </w:rPr>
        <w:t>abril</w:t>
      </w:r>
      <w:r w:rsidRPr="002E5402" w:rsidR="00414F97">
        <w:rPr>
          <w:rFonts w:ascii="Calibri" w:hAnsi="Calibri"/>
          <w:color w:val="000000"/>
          <w:sz w:val="24"/>
          <w:szCs w:val="24"/>
          <w:shd w:val="clear" w:color="auto" w:fill="FFFFFF"/>
        </w:rPr>
        <w:t xml:space="preserve"> de 202</w:t>
      </w:r>
      <w:r w:rsidRPr="002E5402" w:rsidR="00462883">
        <w:rPr>
          <w:rFonts w:ascii="Calibri" w:hAnsi="Calibri"/>
          <w:color w:val="000000"/>
          <w:sz w:val="24"/>
          <w:szCs w:val="24"/>
          <w:shd w:val="clear" w:color="auto" w:fill="FFFFFF"/>
        </w:rPr>
        <w:t>5</w:t>
      </w:r>
      <w:r w:rsidRPr="002E5402" w:rsidR="00414F97">
        <w:rPr>
          <w:rFonts w:ascii="Calibri" w:hAnsi="Calibri"/>
          <w:color w:val="000000"/>
          <w:sz w:val="24"/>
          <w:szCs w:val="24"/>
          <w:shd w:val="clear" w:color="auto" w:fill="FFFFFF"/>
        </w:rPr>
        <w:t>.</w:t>
      </w:r>
    </w:p>
    <w:p w:rsidR="004F041B" w:rsidRPr="002E5402">
      <w:pPr>
        <w:pStyle w:val="BodyText"/>
        <w:spacing w:line="240" w:lineRule="auto"/>
        <w:rPr>
          <w:sz w:val="24"/>
          <w:szCs w:val="24"/>
        </w:rPr>
      </w:pPr>
      <w:r w:rsidRPr="002E5402">
        <w:rPr>
          <w:sz w:val="24"/>
          <w:szCs w:val="24"/>
        </w:rPr>
        <w:br/>
      </w:r>
    </w:p>
    <w:p w:rsidR="00462883" w:rsidRPr="002E5402" w:rsidP="00462883">
      <w:pPr>
        <w:jc w:val="center"/>
        <w:rPr>
          <w:rFonts w:ascii="Calibri" w:hAnsi="Calibri" w:cs="Arial"/>
          <w:b/>
          <w:bCs/>
          <w:color w:val="000000"/>
          <w:sz w:val="24"/>
          <w:szCs w:val="24"/>
          <w:u w:val="single"/>
          <w:shd w:val="clear" w:color="auto" w:fill="FFFFFF"/>
        </w:rPr>
      </w:pPr>
    </w:p>
    <w:p w:rsidR="00462883" w:rsidRPr="002E5402" w:rsidP="00462883">
      <w:pPr>
        <w:jc w:val="center"/>
        <w:rPr>
          <w:rFonts w:ascii="Calibri" w:hAnsi="Calibri" w:cs="Arial"/>
          <w:b/>
          <w:bCs/>
          <w:color w:val="000000"/>
          <w:sz w:val="24"/>
          <w:szCs w:val="24"/>
          <w:u w:val="single"/>
          <w:shd w:val="clear" w:color="auto" w:fill="FFFFFF"/>
        </w:rPr>
      </w:pPr>
      <w:r w:rsidRPr="002E5402">
        <w:rPr>
          <w:rFonts w:ascii="Calibri" w:hAnsi="Calibri" w:cs="Arial"/>
          <w:b/>
          <w:bCs/>
          <w:color w:val="000000"/>
          <w:sz w:val="24"/>
          <w:szCs w:val="24"/>
          <w:u w:val="single"/>
          <w:shd w:val="clear" w:color="auto" w:fill="FFFFFF"/>
        </w:rPr>
        <w:t>COMISSÃO DE FINANÇAS E ORÇAMENTO</w:t>
      </w:r>
    </w:p>
    <w:p w:rsidR="00462883" w:rsidRPr="002E5402" w:rsidP="00462883">
      <w:pPr>
        <w:jc w:val="center"/>
        <w:rPr>
          <w:sz w:val="24"/>
          <w:szCs w:val="24"/>
        </w:rPr>
      </w:pPr>
    </w:p>
    <w:p w:rsidR="00462883" w:rsidRPr="002E5402" w:rsidP="00462883">
      <w:pPr>
        <w:jc w:val="center"/>
        <w:rPr>
          <w:sz w:val="24"/>
          <w:szCs w:val="24"/>
        </w:rPr>
      </w:pP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VEREADORA MARA CRISTINA CHOQUETTA</w:t>
      </w: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 xml:space="preserve">Presidente/Relatora </w:t>
      </w:r>
    </w:p>
    <w:p w:rsidR="00462883" w:rsidRPr="002E5402" w:rsidP="00462883">
      <w:pPr>
        <w:jc w:val="center"/>
        <w:rPr>
          <w:rFonts w:ascii="Calibri" w:hAnsi="Calibri" w:cs="Arial"/>
          <w:b/>
          <w:bCs/>
          <w:color w:val="000000"/>
          <w:sz w:val="24"/>
          <w:szCs w:val="24"/>
          <w:shd w:val="clear" w:color="auto" w:fill="FFFFFF"/>
        </w:rPr>
      </w:pP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VEREADOR MÁRCIO DENER CORAN</w:t>
      </w: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Vice-Presidente</w:t>
      </w:r>
    </w:p>
    <w:p w:rsidR="00462883" w:rsidRPr="002E5402" w:rsidP="00462883">
      <w:pPr>
        <w:jc w:val="center"/>
        <w:rPr>
          <w:sz w:val="24"/>
          <w:szCs w:val="24"/>
        </w:rPr>
      </w:pP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VEREADORA MARCOS PAULO CEGATTI</w:t>
      </w: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Membro</w:t>
      </w:r>
    </w:p>
    <w:p w:rsidR="004F041B" w:rsidRPr="002E5402" w:rsidP="00462883">
      <w:pPr>
        <w:jc w:val="center"/>
        <w:rPr>
          <w:rFonts w:ascii="Calibri" w:hAnsi="Calibri" w:cs="Arial"/>
          <w:b/>
          <w:bCs/>
          <w:color w:val="000000"/>
          <w:sz w:val="24"/>
          <w:szCs w:val="24"/>
          <w:shd w:val="clear" w:color="auto" w:fill="FFFFFF"/>
        </w:rPr>
      </w:pPr>
    </w:p>
    <w:sectPr>
      <w:headerReference w:type="default" r:id="rId4"/>
      <w:footerReference w:type="default" r:id="rId5"/>
      <w:pgSz w:w="11906" w:h="16838"/>
      <w:pgMar w:top="2268" w:right="1321" w:bottom="1134" w:left="1418" w:header="720" w:footer="720" w:gutter="0"/>
      <w:cols w:space="720"/>
      <w:formProt w:val="0"/>
      <w:docGrid w:linePitch="1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58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58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25981"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4445"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2C658D">
                          <w:pPr>
                            <w:pStyle w:val="Header"/>
                            <w:rPr>
                              <w:color w:val="000000"/>
                            </w:rPr>
                          </w:pPr>
                        </w:p>
                      </w:txbxContent>
                    </wps:txbx>
                    <wps:bodyPr lIns="0" tIns="0" rIns="0" bIns="0" anchor="t">
                      <a:spAutoFit/>
                    </wps:bodyPr>
                  </wps:wsp>
                </a:graphicData>
              </a:graphic>
            </wp:anchor>
          </w:drawing>
        </mc:Choice>
        <mc:Fallback>
          <w:pict>
            <v:rect id="Retângulo 1" o:spid="_x0000_s2049" style="width:1.15pt;height:11.45pt;margin-top:0.05pt;margin-left:-50.05pt;mso-position-horizontal:right;mso-position-horizontal-relative:margin;mso-wrap-distance-bottom:0;mso-wrap-distance-left:0;mso-wrap-distance-right:0.35pt;mso-wrap-distance-top:0;mso-wrap-style:square;position:absolute;visibility:visible;v-text-anchor:top;z-index:-251656192" o:allowincell="f" filled="f" stroked="f">
              <v:textbox style="mso-fit-shape-to-text:t" inset="0,0,0,0">
                <w:txbxContent>
                  <w:p w:rsidR="002C658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2C658D">
    <w:pPr>
      <w:pStyle w:val="Header"/>
      <w:tabs>
        <w:tab w:val="clear" w:pos="4419"/>
        <w:tab w:val="right" w:pos="7513"/>
        <w:tab w:val="clear" w:pos="8838"/>
      </w:tabs>
      <w:jc w:val="cente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1B"/>
    <w:rsid w:val="00003F55"/>
    <w:rsid w:val="00034D4D"/>
    <w:rsid w:val="00043364"/>
    <w:rsid w:val="0005109F"/>
    <w:rsid w:val="000D0DF4"/>
    <w:rsid w:val="00133469"/>
    <w:rsid w:val="001845DE"/>
    <w:rsid w:val="00185602"/>
    <w:rsid w:val="001B6521"/>
    <w:rsid w:val="001D5B4B"/>
    <w:rsid w:val="00235E43"/>
    <w:rsid w:val="00243243"/>
    <w:rsid w:val="002C658D"/>
    <w:rsid w:val="002E5402"/>
    <w:rsid w:val="002F38E0"/>
    <w:rsid w:val="00362FD7"/>
    <w:rsid w:val="0039598F"/>
    <w:rsid w:val="003F7AE8"/>
    <w:rsid w:val="003F7DA3"/>
    <w:rsid w:val="00414F97"/>
    <w:rsid w:val="00462883"/>
    <w:rsid w:val="00480241"/>
    <w:rsid w:val="00494B6D"/>
    <w:rsid w:val="004A659E"/>
    <w:rsid w:val="004F041B"/>
    <w:rsid w:val="00542846"/>
    <w:rsid w:val="005E722F"/>
    <w:rsid w:val="005F5A6A"/>
    <w:rsid w:val="00600FC1"/>
    <w:rsid w:val="006662AC"/>
    <w:rsid w:val="00691D65"/>
    <w:rsid w:val="006A5CA3"/>
    <w:rsid w:val="006E6173"/>
    <w:rsid w:val="00793E87"/>
    <w:rsid w:val="007C1CE1"/>
    <w:rsid w:val="0082783B"/>
    <w:rsid w:val="00835DFF"/>
    <w:rsid w:val="00836D1F"/>
    <w:rsid w:val="0085583E"/>
    <w:rsid w:val="008821CA"/>
    <w:rsid w:val="00892E0F"/>
    <w:rsid w:val="008971D3"/>
    <w:rsid w:val="00897D1F"/>
    <w:rsid w:val="008C5E21"/>
    <w:rsid w:val="008E7A30"/>
    <w:rsid w:val="00900E14"/>
    <w:rsid w:val="009B310E"/>
    <w:rsid w:val="009E5446"/>
    <w:rsid w:val="00A87318"/>
    <w:rsid w:val="00B237DF"/>
    <w:rsid w:val="00B91182"/>
    <w:rsid w:val="00CB66F3"/>
    <w:rsid w:val="00CD2592"/>
    <w:rsid w:val="00D02391"/>
    <w:rsid w:val="00D11FF7"/>
    <w:rsid w:val="00D93B9F"/>
    <w:rsid w:val="00E150C8"/>
    <w:rsid w:val="00EF2397"/>
    <w:rsid w:val="00F35282"/>
    <w:rsid w:val="00F860DB"/>
    <w:rsid w:val="00FC4B62"/>
  </w:rsids>
  <m:mathPr>
    <m:mathFont m:val="Cambria Math"/>
  </m:mathPr>
  <w:clrSchemeMapping w:bg1="light1" w:t1="dark1" w:bg2="light2" w:t2="dark2" w:accent1="accent1" w:accent2="accent2" w:accent3="accent3" w:accent4="accent4" w:accent5="accent5" w:accent6="accent6" w:hyperlink="hyperlink" w:followedHyperlink="followedHyperlink"/>
  <w15:docId w15:val="{D1DF9495-87A5-43B0-BCFB-967CB988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2023-03-09T12:12:00Z</cp:lastPrinted>
  <dcterms:created xsi:type="dcterms:W3CDTF">2025-04-23T18:05:00Z</dcterms:created>
  <dcterms:modified xsi:type="dcterms:W3CDTF">2025-04-23T18:06:00Z</dcterms:modified>
  <dc:language>pt-BR</dc:language>
</cp:coreProperties>
</file>