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75F92" w:rsidP="003D6D21" w14:paraId="4184D1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75F92" w:rsidP="003D6D21" w14:paraId="1F74476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75F92" w:rsidP="003D6D21" w14:paraId="01652FB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FF7D03" w:rsidP="003D6D21" w14:paraId="0FA6665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62A27" w:rsidP="003D6D21" w14:paraId="7708D056" w14:textId="1EA73253">
      <w:pPr>
        <w:pStyle w:val="NormalWeb"/>
        <w:spacing w:line="360" w:lineRule="auto"/>
        <w:rPr>
          <w:rStyle w:val="Strong"/>
        </w:rPr>
      </w:pPr>
      <w:r w:rsidRPr="00662A27">
        <w:tab/>
      </w:r>
      <w:r w:rsidRPr="00662A27" w:rsidR="006F3969">
        <w:rPr>
          <w:rStyle w:val="Strong"/>
        </w:rPr>
        <w:t xml:space="preserve">PROJETO DE </w:t>
      </w:r>
      <w:r w:rsidR="00B85C3B">
        <w:rPr>
          <w:rStyle w:val="Strong"/>
        </w:rPr>
        <w:t xml:space="preserve">LEI </w:t>
      </w:r>
      <w:r w:rsidRPr="00662A27" w:rsidR="00B85C3B">
        <w:rPr>
          <w:rStyle w:val="Strong"/>
        </w:rPr>
        <w:t>Nº</w:t>
      </w:r>
      <w:r w:rsidRPr="00662A27" w:rsidR="006F3969">
        <w:rPr>
          <w:rStyle w:val="Strong"/>
        </w:rPr>
        <w:t xml:space="preserve"> </w:t>
      </w:r>
      <w:r w:rsidR="0092098F">
        <w:rPr>
          <w:rStyle w:val="Strong"/>
        </w:rPr>
        <w:t>42</w:t>
      </w:r>
      <w:r w:rsidRPr="00662A27" w:rsidR="00F74441">
        <w:rPr>
          <w:rStyle w:val="Strong"/>
        </w:rPr>
        <w:t xml:space="preserve"> DE 2025</w:t>
      </w:r>
    </w:p>
    <w:p w:rsidR="00F74441" w:rsidP="00662A27" w14:paraId="4DE9CBF8" w14:textId="1B317276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>“</w:t>
      </w:r>
      <w:r w:rsidR="0092098F">
        <w:rPr>
          <w:rStyle w:val="Emphasis"/>
        </w:rPr>
        <w:t>DISPÕE SOBRE RENOVAÇÃO</w:t>
      </w:r>
      <w:r w:rsidR="00AB04FE">
        <w:rPr>
          <w:rStyle w:val="Emphasis"/>
        </w:rPr>
        <w:t xml:space="preserve"> </w:t>
      </w:r>
      <w:r w:rsidR="00164C03">
        <w:rPr>
          <w:rStyle w:val="Emphasis"/>
        </w:rPr>
        <w:t>DE PERMISSÃO DE USO DE BENS PÚBLICOS MUNICIPAIS, DADA À SECRETARIA DE ESTADO DA SAÚDE</w:t>
      </w:r>
      <w:r w:rsidR="00662A27">
        <w:rPr>
          <w:rStyle w:val="Emphasis"/>
        </w:rPr>
        <w:t>”.</w:t>
      </w:r>
    </w:p>
    <w:p w:rsidR="00F74441" w:rsidRPr="00662A27" w:rsidP="003D6D21" w14:paraId="1D42C3C2" w14:textId="2488CE4E">
      <w:pPr>
        <w:pStyle w:val="NormalWeb"/>
        <w:spacing w:line="360" w:lineRule="auto"/>
      </w:pPr>
      <w:r w:rsidRPr="00662A27">
        <w:rPr>
          <w:rStyle w:val="Strong"/>
        </w:rPr>
        <w:t xml:space="preserve">RELATOR: VEREADOR </w:t>
      </w:r>
      <w:r w:rsidRPr="00662A27" w:rsidR="006F3969">
        <w:rPr>
          <w:rStyle w:val="Strong"/>
        </w:rPr>
        <w:t>MANOEL EDUARDO PEREIRA DA CRUZ PALOMINO</w:t>
      </w:r>
    </w:p>
    <w:p w:rsidR="00675F92" w:rsidP="003D6D21" w14:paraId="140DF0F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62A27" w:rsidP="003D6D21" w14:paraId="255CBB13" w14:textId="27020887">
      <w:pPr>
        <w:spacing w:line="360" w:lineRule="auto"/>
        <w:rPr>
          <w:sz w:val="24"/>
          <w:szCs w:val="24"/>
        </w:rPr>
      </w:pPr>
    </w:p>
    <w:p w:rsidR="00F74441" w:rsidP="003D6D21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F7D03" w:rsidRPr="00FF7D03" w:rsidP="00FF7D03" w14:paraId="0560B3A2" w14:textId="77777777"/>
    <w:p w:rsidR="00B058F3" w:rsidP="003A35AC" w14:paraId="585489B8" w14:textId="49BFC113">
      <w:pPr>
        <w:pStyle w:val="NormalWeb"/>
        <w:spacing w:line="360" w:lineRule="auto"/>
        <w:jc w:val="both"/>
      </w:pPr>
      <w:r w:rsidRPr="00662A27">
        <w:tab/>
      </w:r>
      <w:r w:rsidRPr="00662A27" w:rsidR="003B1A59">
        <w:t xml:space="preserve">O Projeto </w:t>
      </w:r>
      <w:r w:rsidR="00164C03">
        <w:rPr>
          <w:rStyle w:val="titulo-principal"/>
        </w:rPr>
        <w:t>de Lei nº 42 de 2025 propõe a renovação da permissão de uso de bens públicos municipais, anteriormente concedida à Secretaria de Estado da Saúde, com base na Lei Municipal nº 5.644/2015 e suas alterações. A presente proposta emerge da necessidade de assegurar a continuidade dos serviços prestados pela Secretaria de Estado da Saúde à população de Mogi Mirim e região, reconhecendo a importância de uma infraestrutura apropriada para a atuação do setor saúde no município.</w:t>
      </w:r>
    </w:p>
    <w:p w:rsidR="00B058F3" w:rsidP="00B058F3" w14:paraId="706D1F24" w14:textId="33A7DC6B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 xml:space="preserve">A </w:t>
      </w:r>
      <w:r w:rsidR="00164C03">
        <w:rPr>
          <w:rStyle w:val="titulo-principal"/>
        </w:rPr>
        <w:t>renovação da permissão, por um período de 10 anos, sem ônus, garante estabilidade e previsibilidade às ações voltadas à saúde pública, permitindo que a Secretaria desenvolva e amplie seus trabalhos com a segurança de estar amparada legalmente na utilização dos bens públicos. Além disso, ao final do período estabelecido, a possibilidade de nova autorização mediante aprovação legislativa reforça a responsabilidade e a fiscalização do uso desses bens, garantindo a transparência e o interesse público.</w:t>
      </w:r>
    </w:p>
    <w:p w:rsidR="00675F92" w:rsidP="00B058F3" w14:paraId="75E23055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</w:p>
    <w:p w:rsidR="00F74441" w:rsidP="003D6D21" w14:paraId="380FED2D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42811" w:rsidRPr="00F42811" w:rsidP="00F42811" w14:paraId="293C2E94" w14:textId="77777777"/>
    <w:p w:rsidR="00F74441" w:rsidRPr="00662A27" w:rsidP="003D6D21" w14:paraId="560AAA5E" w14:textId="5ADC7760">
      <w:pPr>
        <w:pStyle w:val="Heading4"/>
        <w:spacing w:line="360" w:lineRule="auto"/>
        <w:rPr>
          <w:color w:val="auto"/>
        </w:rPr>
      </w:pPr>
      <w:r w:rsidRPr="00662A27">
        <w:rPr>
          <w:rStyle w:val="Strong"/>
          <w:b/>
          <w:bCs w:val="0"/>
          <w:color w:val="auto"/>
        </w:rPr>
        <w:tab/>
        <w:t>a) Legalidade e Constitucionalidade</w:t>
      </w:r>
    </w:p>
    <w:p w:rsidR="003B1A59" w:rsidP="003D6D21" w14:paraId="07126A77" w14:textId="234F7BE9">
      <w:pPr>
        <w:pStyle w:val="NormalWeb"/>
        <w:spacing w:line="360" w:lineRule="auto"/>
        <w:jc w:val="both"/>
      </w:pPr>
      <w:r w:rsidRPr="00662A27">
        <w:tab/>
      </w:r>
      <w:r w:rsidRPr="00662A27">
        <w:t xml:space="preserve">O Projeto de Lei </w:t>
      </w:r>
      <w:r w:rsidR="00844C16">
        <w:t xml:space="preserve">nº </w:t>
      </w:r>
      <w:r w:rsidR="00164C03">
        <w:t>42</w:t>
      </w:r>
      <w:r w:rsidRPr="00662A27">
        <w:t xml:space="preserve"> de 2025 está em conformidade com os princípios constitucionais e legais</w:t>
      </w:r>
      <w:r w:rsidR="00DD69E8">
        <w:t>,</w:t>
      </w:r>
      <w:r w:rsidR="00A440EB">
        <w:t xml:space="preserve"> </w:t>
      </w:r>
      <w:r w:rsidR="00D513C8">
        <w:t xml:space="preserve">a matéria tratada </w:t>
      </w:r>
      <w:r w:rsidR="00A440EB">
        <w:t xml:space="preserve">se insere na alçada de competência </w:t>
      </w:r>
      <w:r w:rsidR="00DD69E8">
        <w:t>do Município para legislar sobre assuntos de interesse local, dentre os quais se encontra a administração, utilização e alienação de seus bens</w:t>
      </w:r>
      <w:r w:rsidR="00A440EB">
        <w:t xml:space="preserve">, nos termos do </w:t>
      </w:r>
      <w:r w:rsidRPr="00662A27">
        <w:rPr>
          <w:rStyle w:val="Strong"/>
        </w:rPr>
        <w:t xml:space="preserve">inciso I, </w:t>
      </w:r>
      <w:r w:rsidR="00B12988">
        <w:rPr>
          <w:rStyle w:val="Strong"/>
        </w:rPr>
        <w:t xml:space="preserve">do artigo 30, </w:t>
      </w:r>
      <w:r w:rsidRPr="00662A27">
        <w:rPr>
          <w:rStyle w:val="Strong"/>
        </w:rPr>
        <w:t xml:space="preserve">da Constituição </w:t>
      </w:r>
      <w:r w:rsidRPr="00CC31C7">
        <w:rPr>
          <w:rStyle w:val="Strong"/>
        </w:rPr>
        <w:t>Federal</w:t>
      </w:r>
      <w:r w:rsidRPr="00EB0B0F" w:rsidR="00B12988">
        <w:rPr>
          <w:b/>
        </w:rPr>
        <w:t xml:space="preserve"> e incisos I e X do artigo 12, da Lei Orgânica Municipal</w:t>
      </w:r>
      <w:r w:rsidR="00A440EB">
        <w:rPr>
          <w:b/>
        </w:rPr>
        <w:t>.</w:t>
      </w:r>
      <w:r w:rsidR="00B12988">
        <w:t xml:space="preserve"> </w:t>
      </w:r>
    </w:p>
    <w:p w:rsidR="00DD69E8" w:rsidP="003D6D21" w14:paraId="7DDE595C" w14:textId="77777777">
      <w:pPr>
        <w:pStyle w:val="NormalWeb"/>
        <w:spacing w:line="360" w:lineRule="auto"/>
        <w:jc w:val="both"/>
      </w:pPr>
      <w:r>
        <w:tab/>
      </w:r>
      <w:r>
        <w:t>Nesse sentido lecionava Hely Lopes Meirelles:</w:t>
      </w:r>
    </w:p>
    <w:p w:rsidR="00EB0B0F" w:rsidRPr="00662A27" w:rsidP="003D6D21" w14:paraId="742D00DA" w14:textId="251E750E">
      <w:pPr>
        <w:pStyle w:val="NormalWeb"/>
        <w:spacing w:line="360" w:lineRule="auto"/>
        <w:jc w:val="both"/>
      </w:pPr>
      <w:r>
        <w:t xml:space="preserve"> “Ao Município incumbe </w:t>
      </w:r>
      <w:r w:rsidR="00005A59">
        <w:t xml:space="preserve">a administração de seus bens, no uso regular </w:t>
      </w:r>
      <w:r>
        <w:t>da autonomia constitucional que lhe é assegurada para cuidar de tudo que é seu interesse local (art. 30, I) [...] Cabe ao prefeito a administra</w:t>
      </w:r>
      <w:r w:rsidR="00005A59">
        <w:t>ção dos bens municipais, respei</w:t>
      </w:r>
      <w:r>
        <w:t>tada a competência do presidente da Câmara quanto aos utilizados nos serviços da Edilidade; mas mesmo no que toda a estes bens, somente os atos de uso e conservação é que competem ao presidente, visto que os de alienação e aquisição devem ser rea</w:t>
      </w:r>
      <w:r w:rsidR="00005A59">
        <w:t>lizados pelo Executivo, como representante do Município”</w:t>
      </w:r>
      <w:r>
        <w:t xml:space="preserve"> (cf. in Direito Municipal Brasileiro, 16ª ed., São Paulo: Malheiros, 2008, p. 312/319).</w:t>
      </w:r>
    </w:p>
    <w:p w:rsidR="00F6519C" w:rsidP="003D6D21" w14:paraId="523DFC9B" w14:textId="043FA532">
      <w:pPr>
        <w:pStyle w:val="NormalWeb"/>
        <w:spacing w:line="360" w:lineRule="auto"/>
        <w:jc w:val="both"/>
      </w:pPr>
      <w:r w:rsidRPr="00662A27">
        <w:tab/>
      </w:r>
      <w:r>
        <w:t>Ademais, conforme dispõe o artigo 114, caput e parágrafo 2º, da Lei Orgânica Municipal, o uso de bens municipais por terceiros poderá ser feito mediante permissão, desde que seja por no mínimo 01 (um) ano e no máximo por 10 (dez) anos, podendo ser renovada, e desde que fundada em razão de interesse público será feito a título precário:</w:t>
      </w:r>
    </w:p>
    <w:p w:rsidR="0059504B" w:rsidRPr="00675F92" w:rsidP="00675F92" w14:paraId="738D6BEF" w14:textId="13C20AAD">
      <w:pPr>
        <w:pStyle w:val="Textbody"/>
        <w:spacing w:before="240" w:after="0" w:line="360" w:lineRule="auto"/>
        <w:ind w:left="709"/>
        <w:jc w:val="both"/>
        <w:rPr>
          <w:color w:val="000000"/>
          <w:sz w:val="24"/>
          <w:szCs w:val="24"/>
        </w:rPr>
      </w:pPr>
      <w:r w:rsidRPr="00675F92">
        <w:rPr>
          <w:color w:val="000000"/>
          <w:sz w:val="24"/>
          <w:szCs w:val="24"/>
        </w:rPr>
        <w:t xml:space="preserve">Art. 114.  O uso de bens municipais por terceiros poderá ser feito mediante contratação de parceria público-privada, de consórcio público e de regime de concessão, </w:t>
      </w:r>
      <w:r w:rsidRPr="00675F92">
        <w:rPr>
          <w:b/>
          <w:color w:val="000000"/>
          <w:sz w:val="24"/>
          <w:szCs w:val="24"/>
        </w:rPr>
        <w:t>permissão</w:t>
      </w:r>
      <w:r w:rsidRPr="00675F92">
        <w:rPr>
          <w:color w:val="000000"/>
          <w:sz w:val="24"/>
          <w:szCs w:val="24"/>
        </w:rPr>
        <w:t xml:space="preserve"> ou autorização, conforme o caso e quando houver interesse público devidamente justificado, sempre por prazo determinado, mediante aprovação legislativa nos casos previstos.</w:t>
      </w:r>
    </w:p>
    <w:p w:rsidR="0059504B" w:rsidRPr="00675F92" w:rsidP="00675F92" w14:paraId="4A49DDCB" w14:textId="77777777">
      <w:pPr>
        <w:pStyle w:val="Textbody"/>
        <w:spacing w:before="240" w:after="0" w:line="360" w:lineRule="auto"/>
        <w:ind w:left="709"/>
        <w:jc w:val="both"/>
        <w:rPr>
          <w:color w:val="000000"/>
          <w:sz w:val="24"/>
          <w:szCs w:val="24"/>
        </w:rPr>
      </w:pPr>
      <w:r w:rsidRPr="00675F92">
        <w:rPr>
          <w:color w:val="000000"/>
          <w:sz w:val="24"/>
          <w:szCs w:val="24"/>
        </w:rPr>
        <w:t>§ 2° A permissão poderá incidir sobre qualquer bem público, desde que seja por, no mínimo, 1 (um) ano e, no máximo, 10 (dez anos), podendo ser renovada, desde que fundadas razões de interesse público, será feito a título precário, mediante aprovação legislativa. </w:t>
      </w:r>
      <w:hyperlink r:id="rId4" w:tooltip="§ 2º ao art. 114" w:history="1">
        <w:r w:rsidRPr="00675F92">
          <w:rPr>
            <w:rStyle w:val="Hyperlink"/>
            <w:sz w:val="24"/>
            <w:szCs w:val="24"/>
          </w:rPr>
          <w:t>(Redação dada pela Emenda à Lei Orgânica nº 3, de 2014)</w:t>
        </w:r>
      </w:hyperlink>
    </w:p>
    <w:p w:rsidR="0059504B" w:rsidP="009C51C9" w14:paraId="35BF0499" w14:textId="572785BD">
      <w:pPr>
        <w:pStyle w:val="Textbody"/>
        <w:spacing w:before="240" w:after="0" w:line="360" w:lineRule="auto"/>
        <w:ind w:firstLine="737"/>
        <w:jc w:val="both"/>
        <w:rPr>
          <w:color w:val="000000"/>
          <w:sz w:val="24"/>
          <w:szCs w:val="24"/>
        </w:rPr>
      </w:pPr>
      <w:r w:rsidRPr="0059504B">
        <w:rPr>
          <w:color w:val="000000"/>
          <w:sz w:val="24"/>
          <w:szCs w:val="24"/>
        </w:rPr>
        <w:t>O artigo 2º da Lei em Propositura respeita o prazo estabelecido pelo artigo retro, uma vez que prevê que a permissão de uso pretendida será de 10 (dez) anos. Além disso, o interesse público também restou amplamente demonstrado.</w:t>
      </w:r>
    </w:p>
    <w:p w:rsidR="0059504B" w:rsidP="0059504B" w14:paraId="28861FBB" w14:textId="05846989">
      <w:pPr>
        <w:pStyle w:val="Textbody"/>
        <w:spacing w:before="240" w:after="0" w:line="360" w:lineRule="auto"/>
        <w:ind w:firstLine="7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Assim</w:t>
      </w:r>
      <w:r w:rsidRPr="0059504B">
        <w:rPr>
          <w:color w:val="000000"/>
          <w:sz w:val="24"/>
          <w:szCs w:val="24"/>
        </w:rPr>
        <w:t xml:space="preserve">, </w:t>
      </w:r>
      <w:r w:rsidRPr="0059504B">
        <w:rPr>
          <w:sz w:val="24"/>
          <w:szCs w:val="24"/>
        </w:rPr>
        <w:t>no que se refere a competência constitucional e iniciativa legislativa, não vislumbramos vício de constitucionalidade material ou formal na proposição ora em análise que sejam capazes de impedir sua regular tramitação perante as comissões legislativas temáticas e o Plenário Cameral, conforme exposto em consulta jurídica externa – Consulta/0215/2025/MN/G.</w:t>
      </w:r>
    </w:p>
    <w:p w:rsidR="009C51C9" w:rsidP="009C51C9" w14:paraId="7D5BC2DD" w14:textId="0101EA44">
      <w:pPr>
        <w:pStyle w:val="NormalWeb"/>
        <w:spacing w:line="360" w:lineRule="auto"/>
        <w:ind w:firstLine="720"/>
        <w:jc w:val="both"/>
        <w:rPr>
          <w:rFonts w:eastAsia="Arial"/>
          <w:color w:val="000000"/>
        </w:rPr>
      </w:pPr>
      <w:r w:rsidRPr="00274CE2">
        <w:t xml:space="preserve">Outrossim, </w:t>
      </w:r>
      <w:r w:rsidRPr="00274CE2">
        <w:rPr>
          <w:rFonts w:eastAsia="Arial"/>
          <w:color w:val="000000"/>
        </w:rPr>
        <w:t>no que tange às questões orçamentarias/</w:t>
      </w:r>
      <w:r>
        <w:rPr>
          <w:rFonts w:eastAsia="Arial"/>
          <w:color w:val="000000"/>
        </w:rPr>
        <w:t xml:space="preserve">financeiras, pela análise </w:t>
      </w:r>
      <w:r w:rsidRPr="00274CE2">
        <w:rPr>
          <w:rFonts w:eastAsia="Arial"/>
          <w:color w:val="000000"/>
        </w:rPr>
        <w:t>conclui que a proposta não gera imp</w:t>
      </w:r>
      <w:r w:rsidR="00675F92">
        <w:rPr>
          <w:rFonts w:eastAsia="Arial"/>
          <w:color w:val="000000"/>
        </w:rPr>
        <w:t>actos financeiros</w:t>
      </w:r>
      <w:r w:rsidRPr="00274CE2">
        <w:rPr>
          <w:rFonts w:eastAsia="Arial"/>
          <w:color w:val="000000"/>
        </w:rPr>
        <w:t xml:space="preserve"> ao erário municipal</w:t>
      </w:r>
      <w:r>
        <w:rPr>
          <w:rFonts w:eastAsia="Arial"/>
          <w:color w:val="000000"/>
        </w:rPr>
        <w:t>.</w:t>
      </w:r>
    </w:p>
    <w:p w:rsidR="00F74441" w:rsidP="003D6D21" w14:paraId="0F32780D" w14:textId="25334D4D">
      <w:pPr>
        <w:pStyle w:val="NormalWeb"/>
        <w:spacing w:line="360" w:lineRule="auto"/>
        <w:jc w:val="both"/>
        <w:rPr>
          <w:rStyle w:val="Strong"/>
          <w:bCs w:val="0"/>
        </w:rPr>
      </w:pPr>
      <w:r w:rsidRPr="00662A27">
        <w:rPr>
          <w:rStyle w:val="Strong"/>
          <w:bCs w:val="0"/>
        </w:rPr>
        <w:tab/>
        <w:t>b) Conveniência e Oportunidade</w:t>
      </w:r>
    </w:p>
    <w:p w:rsidR="005B5072" w:rsidP="00E65A56" w14:paraId="521C416A" w14:textId="1DB0719F">
      <w:pPr>
        <w:pStyle w:val="NormalWeb"/>
        <w:spacing w:line="360" w:lineRule="auto"/>
        <w:jc w:val="both"/>
        <w:rPr>
          <w:rStyle w:val="titulo-principal"/>
        </w:rPr>
      </w:pPr>
      <w:r w:rsidRPr="00662A27">
        <w:tab/>
      </w:r>
      <w:r w:rsidRPr="00662A27" w:rsidR="003B1A59">
        <w:t xml:space="preserve">A proposta </w:t>
      </w:r>
      <w:r w:rsidR="00FF7D03">
        <w:rPr>
          <w:rStyle w:val="titulo-principal"/>
        </w:rPr>
        <w:t>de renovação da permissão de uso de bens públicos cedidos à Secretaria de Estado da Saúde revela-se não apenas conveniente, mas imprescindível para a continuidade e melhoria dos serviços de saúde pública no município de Mogi Mirim. A manutenção desses espaços, fundamentais para a implementação de programas voltados a atender a população com necessidades especiais, é um passo necessário em um contexto onde o acesso à saúde se torna cada vez mais crítico</w:t>
      </w:r>
      <w:r>
        <w:rPr>
          <w:rStyle w:val="titulo-principal"/>
        </w:rPr>
        <w:t>.</w:t>
      </w:r>
    </w:p>
    <w:p w:rsidR="00D66DBB" w:rsidP="00E65A56" w14:paraId="0D068AAD" w14:textId="1280794E">
      <w:pPr>
        <w:pStyle w:val="NormalWeb"/>
        <w:spacing w:line="360" w:lineRule="auto"/>
        <w:jc w:val="both"/>
        <w:rPr>
          <w:rStyle w:val="titulo-principal"/>
        </w:rPr>
      </w:pPr>
      <w:r>
        <w:tab/>
      </w:r>
      <w:r w:rsidR="005B5072">
        <w:rPr>
          <w:rStyle w:val="titulo-principal"/>
        </w:rPr>
        <w:t xml:space="preserve">Ademais, </w:t>
      </w:r>
      <w:r w:rsidR="00FF7D03">
        <w:rPr>
          <w:rStyle w:val="titulo-principal"/>
        </w:rPr>
        <w:t>a parceria entre o Estado e o município, simbolizada pela utilização desses bens públicos, exemplifica uma atuação colaborativa que visa o bem-estar coletivo. Essa cooperação atende diretamente ao princípio da supremacia do interesse público. Os serviços prestados pelas unidades existentes, através da cedência dos espaços, têm impacto direto na qualidade d</w:t>
      </w:r>
      <w:r w:rsidR="0059504B">
        <w:rPr>
          <w:rStyle w:val="titulo-principal"/>
        </w:rPr>
        <w:t>e vida dos cidadãos</w:t>
      </w:r>
      <w:r w:rsidR="00FF7D03">
        <w:rPr>
          <w:rStyle w:val="titulo-principal"/>
        </w:rPr>
        <w:t>, especialmente aqueles que dependem de cuidados específicos.</w:t>
      </w:r>
    </w:p>
    <w:p w:rsidR="00FF7D03" w:rsidP="003D6D21" w14:paraId="6FF684FC" w14:textId="77777777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Importante ressaltar que</w:t>
      </w:r>
      <w:r>
        <w:rPr>
          <w:rStyle w:val="titulo-principal"/>
        </w:rPr>
        <w:t xml:space="preserve"> a renovação por um período de 10 anos possibilita ao Estado um planejamento e investimento mais estruturado e eficiente. A certeza da continuidade no uso dos bens permitirá que a Secretaria de Estado da Saúde destine recursos para melhorias nos serviços, capacitação de profissionais e aquisição de equipamentos, essenciais para a elevação da qualidade das atividades desenvolvidas nos centros mencionados.</w:t>
      </w:r>
    </w:p>
    <w:p w:rsidR="00F74441" w:rsidRPr="00662A27" w:rsidP="00675F92" w14:paraId="38BA90DC" w14:textId="25C0523E">
      <w:pPr>
        <w:pStyle w:val="NormalWeb"/>
        <w:spacing w:line="360" w:lineRule="auto"/>
        <w:jc w:val="both"/>
      </w:pPr>
      <w:r>
        <w:rPr>
          <w:rStyle w:val="titulo-principal"/>
        </w:rPr>
        <w:tab/>
        <w:t xml:space="preserve">Além disso, a exigência de uma nova autorização legislativa ao término do prazo de renovação reforça a função de fiscalização do Poder Legislativo Municipal, assegurando a </w:t>
      </w:r>
      <w:r>
        <w:rPr>
          <w:rStyle w:val="titulo-principal"/>
        </w:rPr>
        <w:t>autonomia e a supervisão sobre a utilização dos bens públicos. Nesse sentido, a renovação da permissão de uso dos bens públicos para a Secretaria de Estado da Saúde não é apenas oportuna, mas fundamental para a continuidade de serviços essenciais à população local e regional. Essa medida garante que esses serviços sejam prestados de maneira responsável e dentro dos princípios da legalidade administrativa, os quais são imprescindíveis para gestões públicas que priorizam o interesse coletivo e a implementação de políticas de saúde essenciais.</w:t>
      </w:r>
      <w:r w:rsidR="00675F92">
        <w:rPr>
          <w:rStyle w:val="titulo-principal"/>
        </w:rPr>
        <w:t xml:space="preserve"> 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P="003D6D21" w14:paraId="68542A3A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662A27" w:rsidP="003D6D21" w14:paraId="0344C6BF" w14:textId="5E1FDA94">
      <w:pPr>
        <w:pStyle w:val="NormalWeb"/>
        <w:spacing w:line="360" w:lineRule="auto"/>
        <w:jc w:val="both"/>
      </w:pPr>
      <w:r w:rsidRPr="00662A27">
        <w:tab/>
      </w:r>
      <w:r w:rsidR="005B5072">
        <w:t>Após análise</w:t>
      </w:r>
      <w:r w:rsidRPr="00662A27" w:rsidR="003B1A59">
        <w:t xml:space="preserve"> do projeto, </w:t>
      </w:r>
      <w:r w:rsidRPr="00662A27" w:rsidR="0091078B">
        <w:t>o relator </w:t>
      </w:r>
      <w:r w:rsidRPr="00662A27" w:rsidR="0091078B">
        <w:rPr>
          <w:rStyle w:val="Strong"/>
        </w:rPr>
        <w:t>não propõe emendas</w:t>
      </w:r>
      <w:r w:rsidRPr="00662A27" w:rsidR="0091078B">
        <w:t xml:space="preserve"> ao texto do </w:t>
      </w:r>
      <w:r w:rsidRPr="00662A27" w:rsidR="00675F92">
        <w:t>projeto</w:t>
      </w:r>
      <w:r w:rsidR="00675F92">
        <w:t xml:space="preserve">, </w:t>
      </w:r>
      <w:r w:rsidRPr="00662A27" w:rsidR="00675F92">
        <w:t>fundamentando</w:t>
      </w:r>
      <w:r w:rsidR="00675F92">
        <w:rPr>
          <w:rStyle w:val="titulo-principal"/>
        </w:rPr>
        <w:t xml:space="preserve"> essa decisão na convicção de que, na sua forma atual, o projeto atende plenamente aos objetivos almejados, sem apresentar vícios de constitucionalidade que justifiquem qualquer modificação.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662A27" w:rsidP="003D6D21" w14:paraId="0089363A" w14:textId="365C1766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 xml:space="preserve">IV - DECISÃO DA </w:t>
      </w:r>
      <w:r w:rsidR="00DE6E79">
        <w:rPr>
          <w:rStyle w:val="Strong"/>
          <w:b/>
          <w:bCs w:val="0"/>
          <w:color w:val="auto"/>
          <w:sz w:val="24"/>
          <w:szCs w:val="24"/>
        </w:rPr>
        <w:t>RELATORIA</w:t>
      </w:r>
    </w:p>
    <w:p w:rsidR="00F74441" w:rsidRPr="00662A27" w:rsidP="00675F92" w14:paraId="214FFDEB" w14:textId="0711599A">
      <w:pPr>
        <w:pStyle w:val="NormalWeb"/>
        <w:spacing w:line="360" w:lineRule="auto"/>
        <w:jc w:val="both"/>
      </w:pPr>
      <w:r>
        <w:tab/>
        <w:t>Diante de todo o e</w:t>
      </w:r>
      <w:r w:rsidR="00485A6C">
        <w:t>xposto, este R</w:t>
      </w:r>
      <w:r>
        <w:t>elator,</w:t>
      </w:r>
      <w:r w:rsidR="00485A6C">
        <w:t xml:space="preserve"> considera que a presente propositura não apresenta vícios, recebendo parecer </w:t>
      </w:r>
      <w:r w:rsidRPr="005B5072" w:rsidR="00485A6C">
        <w:rPr>
          <w:b/>
        </w:rPr>
        <w:t>FAVORÁVEL</w:t>
      </w:r>
      <w:r w:rsidR="00485A6C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662A27" w:rsidP="003D6D21" w14:paraId="6AB168D8" w14:textId="30D3D1FB">
      <w:pPr>
        <w:pStyle w:val="NormalWeb"/>
        <w:spacing w:line="360" w:lineRule="auto"/>
        <w:jc w:val="center"/>
      </w:pPr>
      <w:r w:rsidRPr="00662A27">
        <w:rPr>
          <w:rStyle w:val="Strong"/>
        </w:rPr>
        <w:t>SALA DAS SESSÕES</w:t>
      </w:r>
      <w:r w:rsidR="005B5072">
        <w:rPr>
          <w:rStyle w:val="Strong"/>
        </w:rPr>
        <w:t xml:space="preserve"> “VEREADOR SANTO RÓTTOLI”, em </w:t>
      </w:r>
      <w:r w:rsidR="0091078B">
        <w:rPr>
          <w:rStyle w:val="Strong"/>
        </w:rPr>
        <w:t>07</w:t>
      </w:r>
      <w:r w:rsidR="005B5072">
        <w:rPr>
          <w:rStyle w:val="Strong"/>
        </w:rPr>
        <w:t xml:space="preserve"> </w:t>
      </w:r>
      <w:r w:rsidRPr="00662A27">
        <w:rPr>
          <w:rStyle w:val="Strong"/>
        </w:rPr>
        <w:t xml:space="preserve">de </w:t>
      </w:r>
      <w:r w:rsidR="0091078B">
        <w:rPr>
          <w:rStyle w:val="Strong"/>
        </w:rPr>
        <w:t>maio</w:t>
      </w:r>
      <w:r w:rsidRPr="00662A27">
        <w:rPr>
          <w:rStyle w:val="Strong"/>
        </w:rPr>
        <w:t xml:space="preserve"> de 2025.</w:t>
      </w:r>
    </w:p>
    <w:p w:rsidR="00F74441" w:rsidRPr="00F834C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2A27">
        <w:rPr>
          <w:bCs/>
          <w:i/>
          <w:sz w:val="24"/>
          <w:szCs w:val="24"/>
        </w:rPr>
        <w:t>(</w:t>
      </w:r>
      <w:r w:rsidRPr="00F834C7">
        <w:rPr>
          <w:bCs/>
          <w:i/>
          <w:sz w:val="24"/>
          <w:szCs w:val="24"/>
        </w:rPr>
        <w:t>assinado digitalmente)</w:t>
      </w:r>
    </w:p>
    <w:p w:rsidR="00F74441" w:rsidRPr="00F834C7" w:rsidP="003D6D21" w14:paraId="7E34DE79" w14:textId="05F70E5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834C7">
        <w:rPr>
          <w:b/>
          <w:sz w:val="24"/>
          <w:szCs w:val="24"/>
          <w:highlight w:val="white"/>
          <w:u w:val="single"/>
        </w:rPr>
        <w:t xml:space="preserve">VEREADOR </w:t>
      </w:r>
      <w:r w:rsidRPr="00F834C7" w:rsidR="00AE0971">
        <w:rPr>
          <w:b/>
          <w:sz w:val="24"/>
          <w:szCs w:val="24"/>
          <w:highlight w:val="white"/>
          <w:u w:val="single"/>
        </w:rPr>
        <w:t>MANOEL EDUARDO PEREIRA DA CRUZ PALOMINO</w:t>
      </w:r>
    </w:p>
    <w:p w:rsidR="00F74441" w:rsidRPr="00F834C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F834C7">
        <w:rPr>
          <w:sz w:val="24"/>
          <w:szCs w:val="24"/>
        </w:rPr>
        <w:t>Relator</w:t>
      </w:r>
    </w:p>
    <w:p w:rsidR="00F74441" w:rsidRPr="00662A2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9C51C9" w:rsidP="009C51C9" w14:paraId="010DA84F" w14:textId="77777777">
      <w:pPr>
        <w:pStyle w:val="Heading3"/>
        <w:spacing w:line="360" w:lineRule="auto"/>
        <w:rPr>
          <w:color w:val="auto"/>
          <w:sz w:val="20"/>
          <w:szCs w:val="20"/>
        </w:rPr>
      </w:pPr>
      <w:r w:rsidRPr="009C51C9">
        <w:rPr>
          <w:rStyle w:val="Strong"/>
          <w:b/>
          <w:bCs w:val="0"/>
          <w:color w:val="auto"/>
          <w:sz w:val="20"/>
          <w:szCs w:val="20"/>
        </w:rPr>
        <w:t>REFERÊNCIAS:</w:t>
      </w:r>
    </w:p>
    <w:p w:rsidR="00F74441" w:rsidRPr="009C51C9" w:rsidP="009C51C9" w14:paraId="557779D5" w14:textId="5DAB169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z w:val="20"/>
          <w:szCs w:val="20"/>
        </w:rPr>
      </w:pPr>
      <w:r w:rsidRPr="009C51C9">
        <w:rPr>
          <w:rStyle w:val="Strong"/>
          <w:sz w:val="20"/>
          <w:szCs w:val="20"/>
        </w:rPr>
        <w:t>Consulta/0</w:t>
      </w:r>
      <w:r w:rsidRPr="009C51C9" w:rsidR="0091078B">
        <w:rPr>
          <w:rStyle w:val="Strong"/>
          <w:sz w:val="20"/>
          <w:szCs w:val="20"/>
        </w:rPr>
        <w:t>215</w:t>
      </w:r>
      <w:r w:rsidRPr="009C51C9">
        <w:rPr>
          <w:rStyle w:val="Strong"/>
          <w:sz w:val="20"/>
          <w:szCs w:val="20"/>
        </w:rPr>
        <w:t>/2025/MN/G</w:t>
      </w:r>
      <w:r w:rsidRPr="009C51C9">
        <w:rPr>
          <w:sz w:val="20"/>
          <w:szCs w:val="20"/>
        </w:rPr>
        <w:t>, elaborada pel</w:t>
      </w:r>
      <w:r w:rsidRPr="009C51C9" w:rsidR="001962AA">
        <w:rPr>
          <w:sz w:val="20"/>
          <w:szCs w:val="20"/>
        </w:rPr>
        <w:t xml:space="preserve">a assessoria jurídica externa, </w:t>
      </w:r>
      <w:r w:rsidRPr="009C51C9">
        <w:rPr>
          <w:sz w:val="20"/>
          <w:szCs w:val="20"/>
        </w:rPr>
        <w:t xml:space="preserve">competência legislativa – Administração, utilização e alienação de bens públicos municipais e deflagração do processo legislativo – atribuições típicas e privativas do Chefe do Poder Executivo – Precedentes doutrinários – instrumentos de uso privativo de bens públicos municipais – Autorização, permissão e concessão de uso. </w:t>
      </w:r>
    </w:p>
    <w:p w:rsidR="0091078B" w:rsidRPr="009C51C9" w:rsidP="009C51C9" w14:paraId="078E6B23" w14:textId="5365143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  <w:sz w:val="20"/>
          <w:szCs w:val="20"/>
        </w:rPr>
      </w:pPr>
      <w:r w:rsidRPr="009C51C9">
        <w:rPr>
          <w:rStyle w:val="Strong"/>
          <w:sz w:val="20"/>
          <w:szCs w:val="20"/>
        </w:rPr>
        <w:t xml:space="preserve">MUNICÍPIO DE MOGI MIRIM. Lei Orgânica do Município de Mogi Mirim. </w:t>
      </w:r>
      <w:r w:rsidRPr="00E75EA9">
        <w:rPr>
          <w:rStyle w:val="Strong"/>
          <w:b w:val="0"/>
          <w:sz w:val="20"/>
          <w:szCs w:val="20"/>
        </w:rPr>
        <w:t>Dispõe sobre a utilização de bens públicos e seu prazo.</w:t>
      </w:r>
      <w:r w:rsidRPr="009C51C9">
        <w:rPr>
          <w:sz w:val="20"/>
          <w:szCs w:val="20"/>
        </w:rPr>
        <w:t xml:space="preserve"> </w:t>
      </w:r>
      <w:hyperlink r:id="rId5" w:history="1">
        <w:r w:rsidRPr="009C51C9" w:rsidR="009C51C9">
          <w:rPr>
            <w:rStyle w:val="Hyperlink"/>
            <w:sz w:val="20"/>
            <w:szCs w:val="20"/>
          </w:rPr>
          <w:t>https://www.legislacaodigital.com.br/MogiMirim-SP/LeisOrganicas/</w:t>
        </w:r>
      </w:hyperlink>
    </w:p>
    <w:p w:rsidR="009C51C9" w:rsidRPr="009C51C9" w:rsidP="009C51C9" w14:paraId="51FBD744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  <w:sz w:val="20"/>
          <w:szCs w:val="20"/>
        </w:rPr>
      </w:pPr>
    </w:p>
    <w:p w:rsidR="00F42811" w:rsidP="00F42811" w14:paraId="75864C2F" w14:textId="77777777">
      <w:pPr>
        <w:spacing w:line="360" w:lineRule="auto"/>
        <w:jc w:val="both"/>
        <w:rPr>
          <w:b/>
          <w:sz w:val="24"/>
          <w:szCs w:val="24"/>
        </w:rPr>
      </w:pPr>
    </w:p>
    <w:p w:rsidR="00F55E24" w:rsidRPr="008626AF" w:rsidP="00F42811" w14:paraId="4570AF67" w14:textId="745F8696">
      <w:pPr>
        <w:spacing w:line="360" w:lineRule="auto"/>
        <w:jc w:val="both"/>
        <w:rPr>
          <w:rStyle w:val="Strong"/>
          <w:sz w:val="24"/>
          <w:szCs w:val="24"/>
        </w:rPr>
      </w:pPr>
      <w:r w:rsidRPr="008626AF">
        <w:rPr>
          <w:b/>
          <w:sz w:val="24"/>
          <w:szCs w:val="24"/>
        </w:rPr>
        <w:t>P</w:t>
      </w:r>
      <w:r w:rsidRPr="008626AF" w:rsidR="00AE0971">
        <w:rPr>
          <w:rStyle w:val="Strong"/>
          <w:sz w:val="24"/>
          <w:szCs w:val="24"/>
        </w:rPr>
        <w:t xml:space="preserve">ARECER </w:t>
      </w:r>
      <w:r w:rsidR="006B3372">
        <w:rPr>
          <w:rStyle w:val="Strong"/>
          <w:sz w:val="24"/>
          <w:szCs w:val="24"/>
        </w:rPr>
        <w:t xml:space="preserve">FAVORÁVEL CONJUNTO DAS COMISSÕES DE </w:t>
      </w:r>
      <w:r w:rsidRPr="008626AF">
        <w:rPr>
          <w:rStyle w:val="Strong"/>
          <w:sz w:val="24"/>
          <w:szCs w:val="24"/>
        </w:rPr>
        <w:t xml:space="preserve">JUSTIÇA E </w:t>
      </w:r>
      <w:r w:rsidRPr="008626AF" w:rsidR="00274CE2">
        <w:rPr>
          <w:rStyle w:val="Strong"/>
          <w:sz w:val="24"/>
          <w:szCs w:val="24"/>
        </w:rPr>
        <w:t>REDAÇÃO,</w:t>
      </w:r>
      <w:r w:rsidR="006B3372">
        <w:rPr>
          <w:rStyle w:val="Strong"/>
          <w:sz w:val="24"/>
          <w:szCs w:val="24"/>
        </w:rPr>
        <w:t xml:space="preserve"> </w:t>
      </w:r>
      <w:r w:rsidR="00675F92">
        <w:rPr>
          <w:rStyle w:val="Strong"/>
          <w:sz w:val="24"/>
          <w:szCs w:val="24"/>
        </w:rPr>
        <w:t xml:space="preserve">EDUCAÇÃO, SAÚDE, CULTURA, ESPORTE E ASSISTÊNCIA SOCIAL E FINANÇAS E </w:t>
      </w:r>
      <w:r w:rsidR="006B3372">
        <w:rPr>
          <w:rStyle w:val="Strong"/>
          <w:sz w:val="24"/>
          <w:szCs w:val="24"/>
        </w:rPr>
        <w:t xml:space="preserve">ORÇAMENTO </w:t>
      </w:r>
      <w:r w:rsidRPr="008626AF">
        <w:rPr>
          <w:rStyle w:val="Strong"/>
          <w:sz w:val="24"/>
          <w:szCs w:val="24"/>
        </w:rPr>
        <w:t xml:space="preserve">AO PROJETO DE LEI Nº </w:t>
      </w:r>
      <w:r w:rsidR="00675F92">
        <w:rPr>
          <w:rStyle w:val="Strong"/>
          <w:sz w:val="24"/>
          <w:szCs w:val="24"/>
        </w:rPr>
        <w:t>42</w:t>
      </w:r>
      <w:r w:rsidRPr="008626AF">
        <w:rPr>
          <w:rStyle w:val="Strong"/>
          <w:sz w:val="24"/>
          <w:szCs w:val="24"/>
        </w:rPr>
        <w:t>/2025</w:t>
      </w:r>
    </w:p>
    <w:p w:rsidR="00AE0971" w:rsidRPr="008626AF" w:rsidP="008626AF" w14:paraId="005E81B4" w14:textId="77777777">
      <w:pPr>
        <w:pStyle w:val="NormalWeb"/>
        <w:spacing w:line="360" w:lineRule="auto"/>
        <w:jc w:val="both"/>
      </w:pPr>
    </w:p>
    <w:p w:rsidR="00F74441" w:rsidRPr="008626AF" w:rsidP="008626AF" w14:paraId="62FD923A" w14:textId="4CBFE0EF">
      <w:pPr>
        <w:pStyle w:val="NormalWeb"/>
        <w:spacing w:line="360" w:lineRule="auto"/>
        <w:jc w:val="both"/>
      </w:pPr>
      <w:r>
        <w:tab/>
        <w:t>Seguindo o Voto exarado pelo Relator e confo</w:t>
      </w:r>
      <w:r w:rsidR="00F42811">
        <w:t>rme determinam os artigos 35,37 e</w:t>
      </w:r>
      <w:r>
        <w:t xml:space="preserve"> 3</w:t>
      </w:r>
      <w:r w:rsidR="00675F92">
        <w:t>9</w:t>
      </w:r>
      <w:r>
        <w:t xml:space="preserve">, combinado com o artigo 45, todos </w:t>
      </w:r>
      <w:r w:rsidR="00274CE2">
        <w:t xml:space="preserve">da </w:t>
      </w:r>
      <w:r w:rsidRPr="008626AF" w:rsidR="00274CE2">
        <w:t>Resolução</w:t>
      </w:r>
      <w:r w:rsidRPr="008626AF" w:rsidR="00F55E24">
        <w:t xml:space="preserve"> nº 276, de 09 de novembro de 2010,</w:t>
      </w:r>
      <w:r>
        <w:t xml:space="preserve"> a Comissão de Justiça e Redação</w:t>
      </w:r>
      <w:r w:rsidR="00F42811">
        <w:t>,</w:t>
      </w:r>
      <w:r w:rsidR="00E75EA9">
        <w:t xml:space="preserve"> Educação, Saúde, Cultura, Esporte e Assistência Social </w:t>
      </w:r>
      <w:r>
        <w:t xml:space="preserve">e Finanças e Orçamento, formalizam o presente </w:t>
      </w:r>
      <w:r w:rsidRPr="006B3372">
        <w:rPr>
          <w:b/>
        </w:rPr>
        <w:t>PARECER FAVORÁVEL</w:t>
      </w:r>
      <w:r>
        <w:t xml:space="preserve">, </w:t>
      </w:r>
      <w:r w:rsidRPr="008626AF" w:rsidR="00AE0971">
        <w:t>recomendando a </w:t>
      </w:r>
      <w:r w:rsidRPr="008626AF" w:rsidR="00AE0971">
        <w:rPr>
          <w:b/>
          <w:bCs/>
        </w:rPr>
        <w:t xml:space="preserve">aprovação do projeto </w:t>
      </w:r>
      <w:r w:rsidRPr="008626AF" w:rsidR="00F55E24">
        <w:t>por entenderem que ele está em co</w:t>
      </w:r>
      <w:r w:rsidRPr="008626AF" w:rsidR="00AE0971">
        <w:t>nformidade com as normas legais.</w:t>
      </w:r>
    </w:p>
    <w:p w:rsidR="0020165D" w:rsidP="008626AF" w14:paraId="690C8A9C" w14:textId="59CA98C8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07</w:t>
      </w:r>
      <w:r w:rsidR="006B3372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="006B3372">
        <w:rPr>
          <w:sz w:val="24"/>
          <w:szCs w:val="24"/>
        </w:rPr>
        <w:t xml:space="preserve"> de 2025.</w:t>
      </w:r>
    </w:p>
    <w:p w:rsidR="006B3372" w:rsidP="008626AF" w14:paraId="2DBB77CB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F42811" w:rsidRPr="008626AF" w:rsidP="008626AF" w14:paraId="3C25967E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6B3372" w:rsidRPr="00274CE2" w:rsidP="006B3372" w14:paraId="39922CEC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6B3372" w:rsidP="006B3372" w14:paraId="37D21FF1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090B3D83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32041F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578F32F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6B3372" w:rsidRPr="00274CE2" w:rsidP="006B3372" w14:paraId="2BA2005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6B3372" w:rsidP="006B3372" w14:paraId="00F4240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2C9E347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1172E9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6B3372" w:rsidRPr="00274CE2" w:rsidP="006B3372" w14:paraId="6163D922" w14:textId="62AC0BF1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F4281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6B3372" w:rsidP="006B3372" w14:paraId="4E8DD7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0F4386F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28248F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6B3372" w:rsidRPr="00274CE2" w:rsidP="006B3372" w14:paraId="4B35952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274CE2" w:rsidP="006B3372" w14:paraId="749085F5" w14:textId="2091E1D1">
      <w:pPr>
        <w:spacing w:line="360" w:lineRule="auto"/>
        <w:jc w:val="both"/>
        <w:rPr>
          <w:sz w:val="24"/>
          <w:szCs w:val="24"/>
          <w:highlight w:val="black"/>
        </w:rPr>
      </w:pPr>
      <w:r w:rsidRPr="00274CE2">
        <w:rPr>
          <w:sz w:val="24"/>
          <w:szCs w:val="24"/>
          <w:highlight w:val="black"/>
        </w:rPr>
        <w:t xml:space="preserve"> </w:t>
      </w:r>
    </w:p>
    <w:p w:rsidR="00F42811" w:rsidP="006B3372" w14:paraId="4C4F4E36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F42811" w:rsidP="006B3372" w14:paraId="19784210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B85C3B" w:rsidP="006B3372" w14:paraId="4B2DA4DE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B85C3B" w:rsidP="006B3372" w14:paraId="311AAE71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F42811" w:rsidRPr="00274CE2" w:rsidP="00E75EA9" w14:paraId="358B2E7D" w14:textId="77777777">
      <w:pPr>
        <w:spacing w:line="360" w:lineRule="auto"/>
        <w:rPr>
          <w:sz w:val="24"/>
          <w:szCs w:val="24"/>
          <w:highlight w:val="black"/>
        </w:rPr>
      </w:pPr>
    </w:p>
    <w:p w:rsidR="006B3372" w:rsidP="00E75EA9" w14:paraId="79D8C31D" w14:textId="10DE2C83">
      <w:pPr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 w:rsidR="00E75EA9">
        <w:rPr>
          <w:b/>
          <w:bCs/>
          <w:color w:val="000000"/>
          <w:sz w:val="24"/>
          <w:szCs w:val="24"/>
          <w:u w:val="single"/>
          <w:shd w:val="clear" w:color="auto" w:fill="FFFFFF"/>
        </w:rPr>
        <w:t>EDUCAÇÃO, SAÚDE, CULTURA, ESPORTE E ASSISTÊNCIA SOCIAL</w:t>
      </w:r>
    </w:p>
    <w:p w:rsidR="00F42811" w:rsidRPr="00274CE2" w:rsidP="00E75EA9" w14:paraId="3783409C" w14:textId="77777777">
      <w:pPr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B3372" w:rsidRPr="00274CE2" w:rsidP="006B3372" w14:paraId="0BC21A29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0725CA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P="006B3372" w14:paraId="2E5950A1" w14:textId="1EA588F6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="00E75EA9">
        <w:rPr>
          <w:b/>
          <w:bCs/>
          <w:color w:val="000000"/>
          <w:sz w:val="24"/>
          <w:szCs w:val="24"/>
          <w:shd w:val="clear" w:color="auto" w:fill="FFFFFF"/>
        </w:rPr>
        <w:t>ERNANI LUIZ DONATTI GRAGNANELLO</w:t>
      </w:r>
    </w:p>
    <w:p w:rsidR="006B3372" w:rsidP="006B3372" w14:paraId="337701C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F42811" w:rsidRPr="00274CE2" w:rsidP="006B3372" w14:paraId="142A25A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778C58E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5E3C854A" w14:textId="10044E90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="00622F30">
        <w:rPr>
          <w:b/>
          <w:bCs/>
          <w:color w:val="000000"/>
          <w:sz w:val="24"/>
          <w:szCs w:val="24"/>
          <w:shd w:val="clear" w:color="auto" w:fill="FFFFFF"/>
        </w:rPr>
        <w:t>EVERTON BOMBARDA</w:t>
      </w:r>
    </w:p>
    <w:p w:rsidR="006B3372" w:rsidP="006B3372" w14:paraId="52D2583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F42811" w:rsidRPr="00274CE2" w:rsidP="006B3372" w14:paraId="2FF3370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6A8E811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6B3372" w:rsidRPr="00274CE2" w:rsidP="006B3372" w14:paraId="77FAD353" w14:textId="5CD6BA5A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="00622F30">
        <w:rPr>
          <w:b/>
          <w:bCs/>
          <w:color w:val="000000"/>
          <w:sz w:val="24"/>
          <w:szCs w:val="24"/>
          <w:shd w:val="clear" w:color="auto" w:fill="FFFFFF"/>
        </w:rPr>
        <w:t>WILIANS MENDES DE OLIVEIRA</w:t>
      </w:r>
    </w:p>
    <w:p w:rsidR="006B3372" w:rsidRPr="00274CE2" w:rsidP="006B3372" w14:paraId="6C8A090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6B3372" w:rsidRPr="00274CE2" w:rsidP="006B3372" w14:paraId="0689C86F" w14:textId="77777777">
      <w:pPr>
        <w:spacing w:line="360" w:lineRule="auto"/>
        <w:jc w:val="center"/>
        <w:rPr>
          <w:b/>
          <w:sz w:val="24"/>
          <w:szCs w:val="24"/>
        </w:rPr>
      </w:pPr>
    </w:p>
    <w:p w:rsidR="006B3372" w:rsidRPr="00274CE2" w:rsidP="006B3372" w14:paraId="5C04EFCA" w14:textId="77777777">
      <w:pPr>
        <w:spacing w:line="360" w:lineRule="auto"/>
        <w:jc w:val="center"/>
        <w:rPr>
          <w:b/>
          <w:sz w:val="24"/>
          <w:szCs w:val="24"/>
        </w:rPr>
      </w:pPr>
    </w:p>
    <w:p w:rsidR="006B3372" w:rsidP="006B3372" w14:paraId="446FF36C" w14:textId="3A589F4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 w:rsidRPr="00274CE2" w:rsid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>FINANÇAS E ORÇAMENTO</w:t>
      </w:r>
    </w:p>
    <w:p w:rsidR="00F42811" w:rsidRPr="00274CE2" w:rsidP="006B3372" w14:paraId="2094078D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B3372" w:rsidRPr="00274CE2" w:rsidP="006B3372" w14:paraId="15DA4450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717B6EE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275981F6" w14:textId="40FAE11A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A</w:t>
      </w: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MARA CRISTINA CHOQUETTA</w:t>
      </w:r>
    </w:p>
    <w:p w:rsidR="006B3372" w:rsidP="006B3372" w14:paraId="2FDB742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F42811" w:rsidRPr="00274CE2" w:rsidP="006B3372" w14:paraId="69F2828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1033E4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44790249" w14:textId="66F9D5B5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MÁRCIO DENER CORAN</w:t>
      </w:r>
    </w:p>
    <w:p w:rsidR="006B3372" w:rsidP="006B3372" w14:paraId="715971D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F42811" w:rsidRPr="00274CE2" w:rsidP="006B3372" w14:paraId="1786CB91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0F718F0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2893A31" w14:textId="59B6E254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MARCOS PAULO CEGATTI</w:t>
      </w:r>
    </w:p>
    <w:p w:rsidR="00D80A2E" w:rsidRPr="00274CE2" w:rsidP="0038252C" w14:paraId="39A4F5B8" w14:textId="36137812">
      <w:pPr>
        <w:spacing w:line="360" w:lineRule="auto"/>
        <w:jc w:val="center"/>
        <w:rPr>
          <w:b/>
          <w:sz w:val="24"/>
          <w:szCs w:val="24"/>
          <w:highlight w:val="black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sectPr w:rsidSect="00914ADC">
      <w:headerReference w:type="even" r:id="rId6"/>
      <w:headerReference w:type="default" r:id="rId7"/>
      <w:footerReference w:type="default" r:id="rId8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5A59"/>
    <w:rsid w:val="00012557"/>
    <w:rsid w:val="000154D6"/>
    <w:rsid w:val="00026797"/>
    <w:rsid w:val="00037531"/>
    <w:rsid w:val="00040BDE"/>
    <w:rsid w:val="00041A2D"/>
    <w:rsid w:val="0006484B"/>
    <w:rsid w:val="00070FE7"/>
    <w:rsid w:val="00071EF2"/>
    <w:rsid w:val="0008150E"/>
    <w:rsid w:val="00096F36"/>
    <w:rsid w:val="00097A43"/>
    <w:rsid w:val="000A1BE0"/>
    <w:rsid w:val="000C47A7"/>
    <w:rsid w:val="000F4933"/>
    <w:rsid w:val="00126AE5"/>
    <w:rsid w:val="0015590E"/>
    <w:rsid w:val="00164C03"/>
    <w:rsid w:val="00181506"/>
    <w:rsid w:val="00187FC6"/>
    <w:rsid w:val="00192536"/>
    <w:rsid w:val="001962AA"/>
    <w:rsid w:val="001A3CE4"/>
    <w:rsid w:val="001B7303"/>
    <w:rsid w:val="0020165D"/>
    <w:rsid w:val="00213987"/>
    <w:rsid w:val="00227E2C"/>
    <w:rsid w:val="00234376"/>
    <w:rsid w:val="00274CE2"/>
    <w:rsid w:val="00297379"/>
    <w:rsid w:val="002A2BD3"/>
    <w:rsid w:val="002A6ADF"/>
    <w:rsid w:val="002B71AC"/>
    <w:rsid w:val="002F3FFA"/>
    <w:rsid w:val="002F5D31"/>
    <w:rsid w:val="003121C8"/>
    <w:rsid w:val="00314B47"/>
    <w:rsid w:val="00322469"/>
    <w:rsid w:val="00371010"/>
    <w:rsid w:val="00371A69"/>
    <w:rsid w:val="0038129E"/>
    <w:rsid w:val="00381C00"/>
    <w:rsid w:val="0038252C"/>
    <w:rsid w:val="003A35AC"/>
    <w:rsid w:val="003A5737"/>
    <w:rsid w:val="003A796B"/>
    <w:rsid w:val="003B1A59"/>
    <w:rsid w:val="003D5E3C"/>
    <w:rsid w:val="003D6D21"/>
    <w:rsid w:val="003E5F7B"/>
    <w:rsid w:val="003F0B47"/>
    <w:rsid w:val="00405098"/>
    <w:rsid w:val="00446FA1"/>
    <w:rsid w:val="00456770"/>
    <w:rsid w:val="00477C67"/>
    <w:rsid w:val="00485A6C"/>
    <w:rsid w:val="004B6FDF"/>
    <w:rsid w:val="004C2FDB"/>
    <w:rsid w:val="004D46DA"/>
    <w:rsid w:val="004E6092"/>
    <w:rsid w:val="005242B1"/>
    <w:rsid w:val="005559D9"/>
    <w:rsid w:val="00555EEC"/>
    <w:rsid w:val="0057515A"/>
    <w:rsid w:val="0059504B"/>
    <w:rsid w:val="005A235E"/>
    <w:rsid w:val="005B5072"/>
    <w:rsid w:val="005B766F"/>
    <w:rsid w:val="005E491E"/>
    <w:rsid w:val="005F2654"/>
    <w:rsid w:val="005F4E55"/>
    <w:rsid w:val="005F54DA"/>
    <w:rsid w:val="00613747"/>
    <w:rsid w:val="00622F30"/>
    <w:rsid w:val="00623088"/>
    <w:rsid w:val="00662A27"/>
    <w:rsid w:val="00675F92"/>
    <w:rsid w:val="006834FE"/>
    <w:rsid w:val="00697874"/>
    <w:rsid w:val="006A54A9"/>
    <w:rsid w:val="006B3372"/>
    <w:rsid w:val="006C7890"/>
    <w:rsid w:val="006D3DCC"/>
    <w:rsid w:val="006F3969"/>
    <w:rsid w:val="007038AD"/>
    <w:rsid w:val="00743DFE"/>
    <w:rsid w:val="00746F2B"/>
    <w:rsid w:val="007556D8"/>
    <w:rsid w:val="007640DA"/>
    <w:rsid w:val="0078178E"/>
    <w:rsid w:val="00784CD4"/>
    <w:rsid w:val="00785E1B"/>
    <w:rsid w:val="00797310"/>
    <w:rsid w:val="007A08D1"/>
    <w:rsid w:val="007A3D7A"/>
    <w:rsid w:val="007B1127"/>
    <w:rsid w:val="007C6589"/>
    <w:rsid w:val="00842408"/>
    <w:rsid w:val="00844C16"/>
    <w:rsid w:val="00855DD2"/>
    <w:rsid w:val="008626AF"/>
    <w:rsid w:val="00864928"/>
    <w:rsid w:val="00876B76"/>
    <w:rsid w:val="00881E60"/>
    <w:rsid w:val="008905C2"/>
    <w:rsid w:val="008A537A"/>
    <w:rsid w:val="008C08C5"/>
    <w:rsid w:val="008C4AA2"/>
    <w:rsid w:val="008D2464"/>
    <w:rsid w:val="00902EE1"/>
    <w:rsid w:val="00904ADF"/>
    <w:rsid w:val="0091078B"/>
    <w:rsid w:val="00914ADC"/>
    <w:rsid w:val="0092098F"/>
    <w:rsid w:val="00920A3F"/>
    <w:rsid w:val="00925E1A"/>
    <w:rsid w:val="00962F19"/>
    <w:rsid w:val="00964D32"/>
    <w:rsid w:val="009C51C9"/>
    <w:rsid w:val="009D6B7C"/>
    <w:rsid w:val="00A00E3E"/>
    <w:rsid w:val="00A12DD9"/>
    <w:rsid w:val="00A164DC"/>
    <w:rsid w:val="00A27446"/>
    <w:rsid w:val="00A440EB"/>
    <w:rsid w:val="00A672C0"/>
    <w:rsid w:val="00A90BE5"/>
    <w:rsid w:val="00AB04FE"/>
    <w:rsid w:val="00AD2770"/>
    <w:rsid w:val="00AE0971"/>
    <w:rsid w:val="00AE5858"/>
    <w:rsid w:val="00AF0C05"/>
    <w:rsid w:val="00AF3296"/>
    <w:rsid w:val="00AF4AC7"/>
    <w:rsid w:val="00B058F3"/>
    <w:rsid w:val="00B12988"/>
    <w:rsid w:val="00B17147"/>
    <w:rsid w:val="00B57090"/>
    <w:rsid w:val="00B85C3B"/>
    <w:rsid w:val="00B975AA"/>
    <w:rsid w:val="00BA48C7"/>
    <w:rsid w:val="00BE279D"/>
    <w:rsid w:val="00BE41D6"/>
    <w:rsid w:val="00BF2A6F"/>
    <w:rsid w:val="00C10154"/>
    <w:rsid w:val="00C3006C"/>
    <w:rsid w:val="00C73BB9"/>
    <w:rsid w:val="00C74E3F"/>
    <w:rsid w:val="00C75973"/>
    <w:rsid w:val="00CA4349"/>
    <w:rsid w:val="00CC31C7"/>
    <w:rsid w:val="00CC3E72"/>
    <w:rsid w:val="00CF288D"/>
    <w:rsid w:val="00D05088"/>
    <w:rsid w:val="00D233F3"/>
    <w:rsid w:val="00D33D19"/>
    <w:rsid w:val="00D513C8"/>
    <w:rsid w:val="00D52DAE"/>
    <w:rsid w:val="00D543E6"/>
    <w:rsid w:val="00D635A7"/>
    <w:rsid w:val="00D66197"/>
    <w:rsid w:val="00D66DBB"/>
    <w:rsid w:val="00D735E2"/>
    <w:rsid w:val="00D80A2E"/>
    <w:rsid w:val="00D81BDB"/>
    <w:rsid w:val="00D9258F"/>
    <w:rsid w:val="00DA7AB4"/>
    <w:rsid w:val="00DC1FC4"/>
    <w:rsid w:val="00DD69E8"/>
    <w:rsid w:val="00DE2A9A"/>
    <w:rsid w:val="00DE6E79"/>
    <w:rsid w:val="00DF605F"/>
    <w:rsid w:val="00DF6EA6"/>
    <w:rsid w:val="00E11ECC"/>
    <w:rsid w:val="00E3543A"/>
    <w:rsid w:val="00E45995"/>
    <w:rsid w:val="00E57668"/>
    <w:rsid w:val="00E65A56"/>
    <w:rsid w:val="00E7438B"/>
    <w:rsid w:val="00E75EA9"/>
    <w:rsid w:val="00E93B28"/>
    <w:rsid w:val="00EA0447"/>
    <w:rsid w:val="00EA375D"/>
    <w:rsid w:val="00EB0B0F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811"/>
    <w:rsid w:val="00F42F8D"/>
    <w:rsid w:val="00F55E24"/>
    <w:rsid w:val="00F6519C"/>
    <w:rsid w:val="00F733EC"/>
    <w:rsid w:val="00F74441"/>
    <w:rsid w:val="00F83282"/>
    <w:rsid w:val="00F834C7"/>
    <w:rsid w:val="00F91A1F"/>
    <w:rsid w:val="00F921DB"/>
    <w:rsid w:val="00FE7AE5"/>
    <w:rsid w:val="00FF7D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79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EmendasLeiOrganica/3-2014" TargetMode="External" /><Relationship Id="rId5" Type="http://schemas.openxmlformats.org/officeDocument/2006/relationships/hyperlink" Target="https://www.legislacaodigital.com.br/MogiMirim-SP/LeisOrganicas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5</cp:revision>
  <cp:lastPrinted>2024-11-28T14:11:00Z</cp:lastPrinted>
  <dcterms:created xsi:type="dcterms:W3CDTF">2025-05-07T19:54:00Z</dcterms:created>
  <dcterms:modified xsi:type="dcterms:W3CDTF">2025-05-08T13:03:00Z</dcterms:modified>
</cp:coreProperties>
</file>