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4740DD" w:rsidP="004740DD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4740DD" w:rsidP="004740DD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4740DD" w:rsidP="004740DD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4740DD" w:rsidP="004740DD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4740DD" w:rsidP="004740DD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4740DD">
        <w:rPr>
          <w:b/>
          <w:color w:val="000000"/>
          <w:sz w:val="24"/>
          <w:szCs w:val="24"/>
        </w:rPr>
        <w:t>RELATÓRIO</w:t>
      </w:r>
    </w:p>
    <w:p w:rsidR="00322469" w:rsidRPr="004740DD" w:rsidP="004740DD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4740DD" w:rsidP="004740DD" w14:paraId="4DE9CBF8" w14:textId="3276E538">
      <w:pPr>
        <w:pStyle w:val="NormalWeb"/>
        <w:spacing w:line="360" w:lineRule="auto"/>
        <w:rPr>
          <w:b/>
          <w:bCs/>
          <w:color w:val="404040"/>
        </w:rPr>
      </w:pPr>
      <w:r w:rsidRPr="004740DD">
        <w:tab/>
      </w:r>
      <w:r w:rsidRPr="004740DD" w:rsidR="00AD4B45">
        <w:rPr>
          <w:rStyle w:val="Strong"/>
          <w:color w:val="404040"/>
        </w:rPr>
        <w:t>PROJETO DE LEI Nº 36</w:t>
      </w:r>
      <w:r w:rsidRPr="004740DD">
        <w:rPr>
          <w:rStyle w:val="Strong"/>
          <w:color w:val="404040"/>
        </w:rPr>
        <w:t xml:space="preserve"> DE 2025</w:t>
      </w:r>
      <w:r w:rsidRPr="004740DD" w:rsidR="00AD4B45">
        <w:rPr>
          <w:rStyle w:val="Strong"/>
          <w:color w:val="404040"/>
        </w:rPr>
        <w:br/>
      </w:r>
      <w:r w:rsidRPr="004740DD">
        <w:rPr>
          <w:color w:val="404040"/>
        </w:rPr>
        <w:br/>
      </w:r>
      <w:r w:rsidRPr="004740DD" w:rsidR="00AD4B45">
        <w:rPr>
          <w:rStyle w:val="Emphasis"/>
        </w:rPr>
        <w:t>Dispõe sobre o regime de adiantamento e concessão de diárias no Município de Mogi</w:t>
      </w:r>
      <w:r w:rsidRPr="004740DD" w:rsidR="00AD4B45">
        <w:rPr>
          <w:rStyle w:val="Emphasis"/>
        </w:rPr>
        <w:t xml:space="preserve"> Mirim e dá outras providências</w:t>
      </w:r>
      <w:r w:rsidRPr="004740DD">
        <w:rPr>
          <w:rStyle w:val="Emphasis"/>
          <w:color w:val="404040"/>
        </w:rPr>
        <w:t>.</w:t>
      </w:r>
    </w:p>
    <w:p w:rsidR="00F74441" w:rsidRPr="004740DD" w:rsidP="004740DD" w14:paraId="1D42C3C2" w14:textId="77777777">
      <w:pPr>
        <w:pStyle w:val="NormalWeb"/>
        <w:spacing w:line="360" w:lineRule="auto"/>
        <w:rPr>
          <w:color w:val="404040"/>
        </w:rPr>
      </w:pPr>
      <w:r w:rsidRPr="004740DD">
        <w:rPr>
          <w:rStyle w:val="Strong"/>
          <w:color w:val="404040"/>
        </w:rPr>
        <w:t>RELATOR: VEREADOR JOÃO VICTOR GASPARINI</w:t>
      </w:r>
    </w:p>
    <w:p w:rsidR="00F74441" w:rsidRPr="004740DD" w:rsidP="004740DD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4740DD" w:rsidP="004740DD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4740DD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AD4B45" w:rsidRPr="004740DD" w:rsidP="004740DD" w14:paraId="52C5DE19" w14:textId="77777777">
      <w:pPr>
        <w:pStyle w:val="NormalWeb"/>
        <w:spacing w:line="360" w:lineRule="auto"/>
        <w:jc w:val="both"/>
      </w:pPr>
      <w:r w:rsidRPr="004740DD">
        <w:rPr>
          <w:color w:val="404040"/>
        </w:rPr>
        <w:tab/>
      </w:r>
      <w:r w:rsidRPr="004740DD">
        <w:t xml:space="preserve">O Projeto de Lei nº 036/2025, de autoria do Chefe do Poder Executivo, Dr. Paulo de Oliveira e Silva, foi encaminhado à Câmara Municipal de Mogi Mirim por meio da Mensagem nº 017/25, datada de 9 de abril de 2025 (Mensagem 17 ao Projeto de Lei 36_2025 - </w:t>
      </w:r>
      <w:r w:rsidRPr="004740DD">
        <w:t>msg</w:t>
      </w:r>
      <w:r w:rsidRPr="004740DD">
        <w:t xml:space="preserve"> 17.pdf, p. 1). O projeto tem como objetivo regulamentar o regime de adiantamento e concessão de diárias no município, adequando a legislação municipal às exigências da Lei Federal nº 4.320/1964, à nova Lei de Licitações (Lei nº 14.133/2021), às diretrizes do Tribunal de Contas do Estado de São Paulo, e às necessidades administrativas atuais (Mensagem 17, p. 2). A propositura solicita tramitação em regime de urgência, conforme previsto no art. 54 da Lei Orgânica do Município (Mensagem 17, p. 1).</w:t>
      </w:r>
    </w:p>
    <w:p w:rsidR="00AD4B45" w:rsidRPr="004740DD" w:rsidP="004740DD" w14:paraId="0BE65913" w14:textId="7454E345">
      <w:pPr>
        <w:pStyle w:val="NormalWeb"/>
        <w:spacing w:line="360" w:lineRule="auto"/>
        <w:jc w:val="both"/>
      </w:pPr>
      <w:r w:rsidRPr="004740DD">
        <w:tab/>
      </w:r>
      <w:r w:rsidRPr="004740DD">
        <w:t>O PL nº 036/2025 é composto por 15 artigos, organizados em três capítulos (Projeto de Lei nº 036_2025.pdf, pp. 3-10):</w:t>
      </w:r>
    </w:p>
    <w:p w:rsidR="00AD4B45" w:rsidRPr="004740DD" w:rsidP="004740DD" w14:paraId="1EF3E846" w14:textId="77777777">
      <w:pPr>
        <w:pStyle w:val="NormalWeb"/>
        <w:numPr>
          <w:ilvl w:val="0"/>
          <w:numId w:val="16"/>
        </w:numPr>
        <w:spacing w:line="360" w:lineRule="auto"/>
        <w:jc w:val="both"/>
      </w:pPr>
      <w:r w:rsidRPr="004740DD">
        <w:rPr>
          <w:rStyle w:val="Strong"/>
        </w:rPr>
        <w:t>Capítulo I - Do Regime de Adiantamento</w:t>
      </w:r>
      <w:r w:rsidRPr="004740DD">
        <w:t>: Estabelece normas para a concessão de adiantamentos (</w:t>
      </w:r>
      <w:r w:rsidRPr="004740DD">
        <w:t>arts</w:t>
      </w:r>
      <w:r w:rsidRPr="004740DD">
        <w:t xml:space="preserve">. 2º a 7º), permitindo seu uso para despesas como manutenção de bens móveis e imóveis, benefícios eventuais, participação em cursos ou eventos, medidas judiciais, despesas de representação, e recâmbio de menores (Mensagem 17, </w:t>
      </w:r>
      <w:r w:rsidRPr="004740DD">
        <w:t>pp. 2-3). Inclui a possibilidade de instituir um cartão de pagamento para facilitar a gestão dessas despesas (art. 7º, PL, p. 6).</w:t>
      </w:r>
    </w:p>
    <w:p w:rsidR="00AD4B45" w:rsidRPr="004740DD" w:rsidP="004740DD" w14:paraId="0E228C04" w14:textId="77777777">
      <w:pPr>
        <w:pStyle w:val="NormalWeb"/>
        <w:numPr>
          <w:ilvl w:val="0"/>
          <w:numId w:val="16"/>
        </w:numPr>
        <w:spacing w:line="360" w:lineRule="auto"/>
        <w:jc w:val="both"/>
      </w:pPr>
      <w:r w:rsidRPr="004740DD">
        <w:rPr>
          <w:rStyle w:val="Strong"/>
        </w:rPr>
        <w:t>Capítulo II - Das Diárias</w:t>
      </w:r>
      <w:r w:rsidRPr="004740DD">
        <w:t>: Define regras para concessão de diárias a servidores e agentes públicos que se desloquem temporariamente da sede do município, cobrindo despesas com hospedagem, alimentação e locomoção urbana (</w:t>
      </w:r>
      <w:r w:rsidRPr="004740DD">
        <w:t>arts</w:t>
      </w:r>
      <w:r w:rsidRPr="004740DD">
        <w:t>. 8º a 12º, PL, pp. 6-8). A concessão será formalizada por crédito em folha de pagamento, com prestação de contas via relatório de viagem (art. 9º, § 1º, PL, p. 7).</w:t>
      </w:r>
    </w:p>
    <w:p w:rsidR="00AD4B45" w:rsidRPr="004740DD" w:rsidP="004740DD" w14:paraId="5E622CF9" w14:textId="77777777">
      <w:pPr>
        <w:pStyle w:val="NormalWeb"/>
        <w:numPr>
          <w:ilvl w:val="0"/>
          <w:numId w:val="16"/>
        </w:numPr>
        <w:spacing w:line="360" w:lineRule="auto"/>
        <w:jc w:val="both"/>
      </w:pPr>
      <w:r w:rsidRPr="004740DD">
        <w:rPr>
          <w:rStyle w:val="Strong"/>
        </w:rPr>
        <w:t>Capítulo III - Disposições Finais</w:t>
      </w:r>
      <w:r w:rsidRPr="004740DD">
        <w:t>: Prevê a regulamentação dos valores das diárias por decreto, a revogação de leis anteriores (nº 3.424/2001, 3.710/2002, 4.789/2009, 6.427/2022), e a entrada em vigor na data de publicação (</w:t>
      </w:r>
      <w:r w:rsidRPr="004740DD">
        <w:t>arts</w:t>
      </w:r>
      <w:r w:rsidRPr="004740DD">
        <w:t>. 13º a 15º, PL, pp. 8-9).</w:t>
      </w:r>
    </w:p>
    <w:p w:rsidR="00AD4B45" w:rsidRPr="004740DD" w:rsidP="004740DD" w14:paraId="77643D25" w14:textId="779FC8CC">
      <w:pPr>
        <w:pStyle w:val="NormalWeb"/>
        <w:spacing w:line="360" w:lineRule="auto"/>
        <w:jc w:val="both"/>
      </w:pPr>
      <w:r w:rsidRPr="004740DD">
        <w:tab/>
      </w:r>
      <w:r w:rsidRPr="004740DD">
        <w:t>A Mensagem nº 017/25 justifica a proposta pela necessidade de modernizar a legislação municipal, que não revisa os valores das diárias desde 2018, e de atender aos critérios de escrituração de despesas do Tribunal de Contas, regularizando apontamentos de exercícios anteriores (Mensagem 17, p. 3). O projeto também é acompanhado por uma certidão de disponibilidade de recursos e uma estimativa de impacto orçamentário para 2025-2027, indicando compatibilidade com a Lei de Responsabilidade Fiscal (Projeto de Lei nº 036_2025.pdf, pp. 23-24).</w:t>
      </w:r>
    </w:p>
    <w:p w:rsidR="00AD4B45" w:rsidRPr="004740DD" w:rsidP="004740DD" w14:paraId="5B8ABBD6" w14:textId="7C0AE48E">
      <w:pPr>
        <w:pStyle w:val="NormalWeb"/>
        <w:spacing w:line="360" w:lineRule="auto"/>
        <w:jc w:val="both"/>
      </w:pPr>
      <w:r w:rsidRPr="004740DD">
        <w:tab/>
      </w:r>
      <w:r w:rsidRPr="004740DD">
        <w:t>O parecer jurídico da SGP Soluções em Gestão Pública (Consulta/0191/2025/JG/G, datada de 17 de abril de 2025, Documentos Diversos 1_2025 ao Projeto de Lei 36_2025 - PARECER SGP - PL 36.2025 - executivo.pdf) foi solicitado pelo Vereador Wagner Ricardo Pereira</w:t>
      </w:r>
      <w:r w:rsidR="004740DD">
        <w:t>, presidente da Comissão de Justiça e Redação,</w:t>
      </w:r>
      <w:r w:rsidRPr="004740DD">
        <w:t xml:space="preserve"> para analisar a competência de iniciativa, o impacto orçamentário, a conformidade com a legislação federal, e eventuais ajustes necessários (Parecer SGP, p. 1).</w:t>
      </w:r>
    </w:p>
    <w:p w:rsidR="00F74441" w:rsidRPr="004740DD" w:rsidP="004740DD" w14:paraId="452BB01C" w14:textId="19C918B7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4740DD" w:rsidP="004740DD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4740DD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4740DD" w:rsidP="004740DD" w14:paraId="560AAA5E" w14:textId="5ADC7760">
      <w:pPr>
        <w:pStyle w:val="Heading4"/>
        <w:spacing w:line="360" w:lineRule="auto"/>
        <w:rPr>
          <w:color w:val="404040"/>
        </w:rPr>
      </w:pPr>
      <w:r w:rsidRPr="004740DD">
        <w:rPr>
          <w:rStyle w:val="Strong"/>
          <w:b/>
          <w:bCs w:val="0"/>
          <w:color w:val="404040"/>
        </w:rPr>
        <w:tab/>
        <w:t>a) Legalidade e Constitucionalidade</w:t>
      </w:r>
    </w:p>
    <w:p w:rsidR="00AD4B45" w:rsidRPr="004740DD" w:rsidP="004740DD" w14:paraId="674DC109" w14:textId="77777777">
      <w:pPr>
        <w:pStyle w:val="Heading4"/>
        <w:spacing w:line="360" w:lineRule="auto"/>
      </w:pPr>
      <w:r w:rsidRPr="004740DD">
        <w:rPr>
          <w:color w:val="404040"/>
        </w:rPr>
        <w:tab/>
      </w:r>
      <w:r w:rsidRPr="004740DD">
        <w:t>Competência de Iniciativa</w:t>
      </w:r>
    </w:p>
    <w:p w:rsidR="00AD4B45" w:rsidRPr="004740DD" w:rsidP="004740DD" w14:paraId="2CF374C0" w14:textId="48EF19FD">
      <w:pPr>
        <w:pStyle w:val="NormalWeb"/>
        <w:spacing w:line="360" w:lineRule="auto"/>
        <w:jc w:val="both"/>
      </w:pPr>
      <w:r>
        <w:tab/>
      </w:r>
      <w:r w:rsidRPr="004740DD">
        <w:t xml:space="preserve">O Projeto de Lei nº 036/2025 encontra respaldo no artigo 30, inciso I, da Constituição Federal, que confere aos municípios competência para legislar sobre assuntos de interesse local, </w:t>
      </w:r>
      <w:r w:rsidRPr="004740DD">
        <w:t>incluindo a gestão administrativa e financeira de seus servidores e órgãos (Parecer SGP, p. 2). Como destacado por José Afonso da Silva, os assuntos relacionados à administração municipal, como a definição de direitos e deveres de servidores, são inequivocamente de interesse local (Parecer SGP, p. 3, citando Comentário Contextual à Constituição, 10ª ed., Malheiros, 2024, pp. 285-286).</w:t>
      </w:r>
    </w:p>
    <w:p w:rsidR="00AD4B45" w:rsidRPr="004740DD" w:rsidP="004740DD" w14:paraId="12D2B49B" w14:textId="17C4E93C">
      <w:pPr>
        <w:pStyle w:val="NormalWeb"/>
        <w:spacing w:line="360" w:lineRule="auto"/>
        <w:jc w:val="both"/>
      </w:pPr>
      <w:r>
        <w:tab/>
      </w:r>
      <w:r w:rsidRPr="004740DD">
        <w:t>A iniciativa do projeto é exclusiva do Chefe do Poder Executivo, conforme previsto no artigo 61, § 1º, inciso II, alíneas ‘b’ e ‘e’, da Constituição Federal, que reserva ao Prefeito a propositura de leis que disponham sobre o regime jurídico de servidores, criação de cargos, e organização administrativa (Parecer SGP, p. 3). Hely Lopes Meirelles reforça que leis sobre o regime jurídico dos servidores municipais e a estruturação da administração pública são de iniciativa privativa do Prefeito (Parecer SGP, p. 3, citando Direito Municipal Brasileiro, 22ª ed., Malheiros, 2025, p. 650). Assim, a autoria do PL nº 036/2025 pelo Prefeito Dr. Paulo de Oliveira e Silva está em conformidade com as normas constitucionais e legais (Mensagem 17, p. 1).</w:t>
      </w:r>
    </w:p>
    <w:p w:rsidR="00AD4B45" w:rsidRPr="004740DD" w:rsidP="004740DD" w14:paraId="38676365" w14:textId="77777777">
      <w:pPr>
        <w:pStyle w:val="Heading4"/>
        <w:spacing w:line="360" w:lineRule="auto"/>
      </w:pPr>
      <w:r w:rsidRPr="004740DD">
        <w:t>Conformidade com a Legislação Federal</w:t>
      </w:r>
    </w:p>
    <w:p w:rsidR="00AD4B45" w:rsidRPr="004740DD" w:rsidP="004740DD" w14:paraId="715CDF4C" w14:textId="783472F8">
      <w:pPr>
        <w:pStyle w:val="NormalWeb"/>
        <w:spacing w:line="360" w:lineRule="auto"/>
        <w:jc w:val="both"/>
      </w:pPr>
      <w:r>
        <w:tab/>
      </w:r>
      <w:r w:rsidRPr="004740DD">
        <w:t xml:space="preserve">O projeto alinha-se ao artigo 68 da Lei Federal nº 4.320/1964, que regula o regime de adiantamento (suprimento de fundos) para despesas que não possam subordinar-se ao processo normal de aplicação (Parecer SGP, p. 4). Segundo </w:t>
      </w:r>
      <w:r w:rsidRPr="004740DD">
        <w:t>Helio</w:t>
      </w:r>
      <w:r w:rsidRPr="004740DD">
        <w:t xml:space="preserve"> </w:t>
      </w:r>
      <w:r w:rsidRPr="004740DD">
        <w:t>Kohama</w:t>
      </w:r>
      <w:r w:rsidRPr="004740DD">
        <w:t>, o regime de adiantamento é um processamento especial para despesas de pronto pagamento, como as previstas no art. 3º do PL (deslocamentos de servidores, manutenção de bens, etc.) (Parecer SGP, p. 4, citando Contabilidade Pública: Teoria e Prática, 15ª ed., Atlas, 2017, p. 172). A proposta também considera as alterações trazidas pela Lei nº 14.133/2021 (nova Lei de Licitações), permitindo maior flexibilidade na gestão de despesas públicas (Mensagem 17, p. 2).</w:t>
      </w:r>
    </w:p>
    <w:p w:rsidR="00AD4B45" w:rsidRPr="004740DD" w:rsidP="004740DD" w14:paraId="12EF5D00" w14:textId="0F2B7B93">
      <w:pPr>
        <w:pStyle w:val="NormalWeb"/>
        <w:spacing w:line="360" w:lineRule="auto"/>
        <w:jc w:val="both"/>
      </w:pPr>
      <w:r>
        <w:tab/>
      </w:r>
      <w:r w:rsidRPr="004740DD">
        <w:t>A concessão de diárias, prevista nos artigos 8º e seguintes do PL, é compatível com a natureza indenizatória dessas verbas, destinadas a custear despesas extraordinárias de hospedagem, alimentação e locomoção urbana durante deslocamentos oficiais (Parecer SGP, p. 5). O projeto exige motivação prévia e prestação de contas mediante relatório de viagem, atendendo aos princípios de transparência e controle da administração pública (art. 9º, PL, p. 7; Parecer SGP, p. 6).</w:t>
      </w:r>
    </w:p>
    <w:p w:rsidR="00AD4B45" w:rsidRPr="004740DD" w:rsidP="004740DD" w14:paraId="03CF7C2E" w14:textId="77777777">
      <w:pPr>
        <w:pStyle w:val="Heading4"/>
        <w:spacing w:line="360" w:lineRule="auto"/>
      </w:pPr>
      <w:r w:rsidRPr="004740DD">
        <w:t>Impacto Orçamentário</w:t>
      </w:r>
    </w:p>
    <w:p w:rsidR="00AD4B45" w:rsidRPr="004740DD" w:rsidP="004740DD" w14:paraId="49DBA682" w14:textId="12306409">
      <w:pPr>
        <w:pStyle w:val="NormalWeb"/>
        <w:spacing w:line="360" w:lineRule="auto"/>
        <w:jc w:val="both"/>
      </w:pPr>
      <w:r>
        <w:tab/>
      </w:r>
      <w:r w:rsidRPr="004740DD">
        <w:t>O PL nº 036/2025 é acompanhado por uma certidão de disponibilidade de recursos e uma estimativa de impacto orçamentário para os exercícios de 2025 a 2027, elaboradas pela Secretaria Municipal de Finanças (Projeto de Lei nº 036_2025.pdf, pp. 23-24). Esses documentos demonstram a adequação da proposta à Lei de Responsabilidade Fiscal (Lei Complementar nº 101/2000), que exige planejamento financeiro para novas despesas. A Mensagem nº 017/25 destaca que as mudanças visam regularizar apontamentos do Tribunal de Contas, promovendo maior conformidade na gestão de recursos públicos (Mensagem 17, p. 3). O parecer da SGP não identifica vícios orçamentários, reforçando a viabilidade financeira da proposta (Parecer SGP, p. 6).</w:t>
      </w:r>
    </w:p>
    <w:p w:rsidR="00AD4B45" w:rsidRPr="004740DD" w:rsidP="004740DD" w14:paraId="0A8FB31B" w14:textId="77777777">
      <w:pPr>
        <w:pStyle w:val="Heading4"/>
        <w:spacing w:line="360" w:lineRule="auto"/>
      </w:pPr>
      <w:r w:rsidRPr="004740DD">
        <w:t>Vícios de Constitucionalidade</w:t>
      </w:r>
    </w:p>
    <w:p w:rsidR="004740DD" w:rsidP="004740DD" w14:paraId="628C8405" w14:textId="77777777">
      <w:pPr>
        <w:pStyle w:val="NormalWeb"/>
        <w:spacing w:line="360" w:lineRule="auto"/>
        <w:jc w:val="both"/>
      </w:pPr>
      <w:r>
        <w:tab/>
      </w:r>
      <w:r w:rsidRPr="004740DD" w:rsidR="00AD4B45">
        <w:t xml:space="preserve">O parecer da SGP conclui que o PL nº 036/2025 não apresenta vícios de constitucionalidade material ou formal, pois respeita a competência municipal, a iniciativa privativa do Executivo, e as normas federais aplicáveis (Parecer SGP, p. 6). </w:t>
      </w:r>
    </w:p>
    <w:p w:rsidR="009F0405" w:rsidRPr="004740DD" w:rsidP="004740DD" w14:paraId="52FDF9A0" w14:textId="43B1984C">
      <w:pPr>
        <w:pStyle w:val="NormalWeb"/>
        <w:spacing w:line="360" w:lineRule="auto"/>
        <w:jc w:val="both"/>
        <w:rPr>
          <w:rStyle w:val="Strong"/>
          <w:bCs w:val="0"/>
          <w:color w:val="404040"/>
        </w:rPr>
      </w:pPr>
      <w:r w:rsidRPr="004740DD">
        <w:rPr>
          <w:rStyle w:val="Strong"/>
          <w:bCs w:val="0"/>
          <w:color w:val="404040"/>
        </w:rPr>
        <w:tab/>
      </w:r>
    </w:p>
    <w:p w:rsidR="00F74441" w:rsidRPr="004740DD" w:rsidP="004740DD" w14:paraId="0F32780D" w14:textId="745E401F">
      <w:pPr>
        <w:pStyle w:val="NormalWeb"/>
        <w:spacing w:line="360" w:lineRule="auto"/>
        <w:jc w:val="both"/>
        <w:rPr>
          <w:color w:val="404040"/>
        </w:rPr>
      </w:pPr>
      <w:r w:rsidRPr="004740DD">
        <w:rPr>
          <w:rStyle w:val="Strong"/>
          <w:bCs w:val="0"/>
          <w:color w:val="404040"/>
        </w:rPr>
        <w:t>b) Conveniência e Oportunidade</w:t>
      </w:r>
    </w:p>
    <w:p w:rsidR="00AD4B45" w:rsidRPr="004740DD" w:rsidP="004740DD" w14:paraId="304AF9B7" w14:textId="77777777">
      <w:pPr>
        <w:pStyle w:val="NormalWeb"/>
        <w:spacing w:line="360" w:lineRule="auto"/>
        <w:jc w:val="both"/>
      </w:pPr>
      <w:r w:rsidRPr="004740DD">
        <w:rPr>
          <w:color w:val="404040"/>
        </w:rPr>
        <w:tab/>
      </w:r>
      <w:r w:rsidRPr="004740DD">
        <w:t>A proposta é conveniente e oportuna, considerando a necessidade de atualizar a legislação municipal sobre adiantamentos e diárias, que não sofre revisão desde 2018 (Mensagem 17, p. 2). A modernização proposta, incluindo a possibilidade de instituir um cartão de pagamento (art. 7º, PL, p. 6) e a regulamentação de diárias por decreto (art. 13º, PL, p. 8), alinha-se às práticas de gestão pública contemporâneas, promovendo eficiência e transparência. A adequação aos critérios do Tribunal de Contas e a regularização de apontamentos anteriores reforçam a relevância da iniciativa (Mensagem 17, p. 3).</w:t>
      </w:r>
    </w:p>
    <w:p w:rsidR="00AD4B45" w:rsidRPr="004740DD" w:rsidP="004740DD" w14:paraId="475AB720" w14:textId="0F2C6558">
      <w:pPr>
        <w:pStyle w:val="NormalWeb"/>
        <w:spacing w:line="360" w:lineRule="auto"/>
        <w:jc w:val="both"/>
      </w:pPr>
      <w:r>
        <w:tab/>
      </w:r>
      <w:r w:rsidRPr="004740DD">
        <w:t>O projeto também atende a demandas administrativas específicas, como a manutenção de bens públicos, a capacitação de servidores, e a assistência social por meio de benefícios eventuais (Mensagem 17, pp. 2-3). A possibilidade de custear despesas judiciais urgentes e o recâmbio de menores sob a guarda do Conselho Tutelar (art. 3º, PL, p. 4) demonstra a preocupação com a efetividade das ações municipais em contextos emergenciais.</w:t>
      </w:r>
    </w:p>
    <w:p w:rsidR="00F74441" w:rsidRPr="004740DD" w:rsidP="004740DD" w14:paraId="38BA90DC" w14:textId="6187C2D9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4740DD" w:rsidP="004740DD" w14:paraId="68542A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4740DD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3B1A59" w:rsidRPr="004740DD" w:rsidP="004740DD" w14:paraId="55E532CC" w14:textId="05AC9641">
      <w:pPr>
        <w:pStyle w:val="NormalWeb"/>
        <w:spacing w:line="360" w:lineRule="auto"/>
        <w:rPr>
          <w:color w:val="404040"/>
        </w:rPr>
      </w:pPr>
      <w:r w:rsidRPr="004740DD">
        <w:tab/>
      </w:r>
      <w:r w:rsidRPr="00DB5B53" w:rsidR="009F0405">
        <w:rPr>
          <w:color w:val="404040"/>
        </w:rPr>
        <w:t xml:space="preserve">Após análise </w:t>
      </w:r>
      <w:r w:rsidRPr="00DB5B53">
        <w:rPr>
          <w:color w:val="404040"/>
        </w:rPr>
        <w:t>do projeto e considerando as ressalvas apresentadas pela assessoria jurídica externa, o relator </w:t>
      </w:r>
      <w:r w:rsidRPr="00DB5B53">
        <w:rPr>
          <w:rStyle w:val="Strong"/>
          <w:color w:val="404040"/>
        </w:rPr>
        <w:t>não propõe emendas</w:t>
      </w:r>
      <w:r w:rsidRPr="00DB5B53">
        <w:rPr>
          <w:color w:val="404040"/>
        </w:rPr>
        <w:t> ao texto do projeto.</w:t>
      </w:r>
    </w:p>
    <w:p w:rsidR="00F74441" w:rsidRPr="004740DD" w:rsidP="004740DD" w14:paraId="0344C6BF" w14:textId="183D14C7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4740DD" w:rsidP="004740DD" w14:paraId="0089363A" w14:textId="77777777">
      <w:pPr>
        <w:pStyle w:val="Heading3"/>
        <w:spacing w:line="360" w:lineRule="auto"/>
        <w:rPr>
          <w:rStyle w:val="Strong"/>
          <w:b/>
          <w:bCs w:val="0"/>
          <w:color w:val="404040"/>
          <w:sz w:val="24"/>
          <w:szCs w:val="24"/>
        </w:rPr>
      </w:pPr>
      <w:r w:rsidRPr="004740DD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4740DD" w:rsidP="004740DD" w14:paraId="2AF20253" w14:textId="1A0E6632">
      <w:pPr>
        <w:pStyle w:val="NormalWeb"/>
        <w:spacing w:line="360" w:lineRule="auto"/>
        <w:jc w:val="both"/>
        <w:rPr>
          <w:color w:val="404040"/>
        </w:rPr>
      </w:pPr>
      <w:r w:rsidRPr="004740DD">
        <w:rPr>
          <w:color w:val="404040"/>
        </w:rPr>
        <w:tab/>
      </w:r>
      <w:r w:rsidRPr="00DB5B53">
        <w:rPr>
          <w:color w:val="404040"/>
        </w:rPr>
        <w:t>A Comissão de Justiça e Redação, por unanimidade, </w:t>
      </w:r>
      <w:r w:rsidRPr="00DB5B53">
        <w:rPr>
          <w:rStyle w:val="Strong"/>
          <w:color w:val="404040"/>
        </w:rPr>
        <w:t>aprova</w:t>
      </w:r>
      <w:r w:rsidR="00DB5B53">
        <w:rPr>
          <w:color w:val="404040"/>
        </w:rPr>
        <w:t> o Projeto de Lei nº 36</w:t>
      </w:r>
      <w:r w:rsidRPr="00DB5B53">
        <w:rPr>
          <w:color w:val="404040"/>
        </w:rPr>
        <w:t xml:space="preserve"> de 2025, </w:t>
      </w:r>
      <w:r w:rsidRPr="00DB5B53" w:rsidR="003D6D21">
        <w:rPr>
          <w:rStyle w:val="Strong"/>
          <w:color w:val="404040"/>
        </w:rPr>
        <w:t>sem emendas</w:t>
      </w:r>
      <w:r w:rsidRPr="00DB5B53">
        <w:rPr>
          <w:color w:val="404040"/>
        </w:rPr>
        <w:t>, considerando-o </w:t>
      </w:r>
      <w:r w:rsidRPr="00DB5B53">
        <w:rPr>
          <w:rStyle w:val="Strong"/>
          <w:color w:val="404040"/>
        </w:rPr>
        <w:t>legal, constitucional e conveniente</w:t>
      </w:r>
      <w:r w:rsidRPr="00DB5B53">
        <w:rPr>
          <w:color w:val="404040"/>
        </w:rPr>
        <w:t>.</w:t>
      </w:r>
    </w:p>
    <w:p w:rsidR="00F74441" w:rsidRPr="004740DD" w:rsidP="004740DD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4740DD" w:rsidP="004740DD" w14:paraId="14CCE9EB" w14:textId="77777777">
      <w:pPr>
        <w:pStyle w:val="NormalWeb"/>
        <w:spacing w:line="360" w:lineRule="auto"/>
        <w:rPr>
          <w:color w:val="404040"/>
        </w:rPr>
      </w:pPr>
      <w:r w:rsidRPr="004740DD">
        <w:rPr>
          <w:rStyle w:val="Strong"/>
          <w:color w:val="404040"/>
        </w:rPr>
        <w:t>Assinam os membros da Comissão de Justiça e Redação que votaram a favor:</w:t>
      </w:r>
    </w:p>
    <w:p w:rsidR="00F74441" w:rsidRPr="004740DD" w:rsidP="004740DD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4740DD">
        <w:rPr>
          <w:color w:val="404040"/>
        </w:rPr>
        <w:t>Vereador João Victor Gasparini (</w:t>
      </w:r>
      <w:r w:rsidRPr="004740DD" w:rsidR="003B1A59">
        <w:rPr>
          <w:color w:val="404040"/>
        </w:rPr>
        <w:t xml:space="preserve">Membro/ </w:t>
      </w:r>
      <w:r w:rsidRPr="004740DD">
        <w:rPr>
          <w:color w:val="404040"/>
        </w:rPr>
        <w:t>Relator)</w:t>
      </w:r>
    </w:p>
    <w:p w:rsidR="00F74441" w:rsidRPr="004740DD" w:rsidP="004740DD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4740DD">
        <w:rPr>
          <w:color w:val="404040"/>
        </w:rPr>
        <w:t xml:space="preserve">Vereador </w:t>
      </w:r>
      <w:r w:rsidRPr="004740DD" w:rsidR="003B1A59">
        <w:rPr>
          <w:color w:val="404040"/>
        </w:rPr>
        <w:t>Wagner Ricardo Pereira (Presidente)</w:t>
      </w:r>
    </w:p>
    <w:p w:rsidR="00F74441" w:rsidRPr="004740DD" w:rsidP="004740DD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4740DD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F74441" w:rsidRPr="004740DD" w:rsidP="004740DD" w14:paraId="6AB168D8" w14:textId="0F45943A">
      <w:pPr>
        <w:pStyle w:val="NormalWeb"/>
        <w:spacing w:line="360" w:lineRule="auto"/>
        <w:jc w:val="center"/>
        <w:rPr>
          <w:color w:val="404040"/>
        </w:rPr>
      </w:pPr>
      <w:r w:rsidRPr="004740DD">
        <w:rPr>
          <w:rStyle w:val="Strong"/>
          <w:color w:val="404040"/>
        </w:rPr>
        <w:t>SALA DAS SESSÕES “VEREADOR SANTO RÓTTOLI”, em 1</w:t>
      </w:r>
      <w:r w:rsidR="00DB5B53">
        <w:rPr>
          <w:rStyle w:val="Strong"/>
          <w:color w:val="404040"/>
        </w:rPr>
        <w:t>4</w:t>
      </w:r>
      <w:r w:rsidRPr="004740DD">
        <w:rPr>
          <w:rStyle w:val="Strong"/>
          <w:color w:val="404040"/>
        </w:rPr>
        <w:t xml:space="preserve"> de </w:t>
      </w:r>
      <w:r w:rsidR="00DC3C63">
        <w:rPr>
          <w:rStyle w:val="Strong"/>
          <w:color w:val="404040"/>
        </w:rPr>
        <w:t>mai</w:t>
      </w:r>
      <w:r w:rsidRPr="004740DD">
        <w:rPr>
          <w:rStyle w:val="Strong"/>
          <w:color w:val="404040"/>
        </w:rPr>
        <w:t>o de 2025.</w:t>
      </w:r>
    </w:p>
    <w:p w:rsidR="003D6D21" w:rsidRPr="004740DD" w:rsidP="004740DD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4740DD" w:rsidP="004740DD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740DD">
        <w:rPr>
          <w:bCs/>
          <w:i/>
          <w:sz w:val="24"/>
          <w:szCs w:val="24"/>
        </w:rPr>
        <w:t>(</w:t>
      </w:r>
      <w:r w:rsidRPr="004740DD">
        <w:rPr>
          <w:bCs/>
          <w:i/>
          <w:sz w:val="24"/>
          <w:szCs w:val="24"/>
        </w:rPr>
        <w:t>assinado</w:t>
      </w:r>
      <w:r w:rsidRPr="004740DD">
        <w:rPr>
          <w:bCs/>
          <w:i/>
          <w:sz w:val="24"/>
          <w:szCs w:val="24"/>
        </w:rPr>
        <w:t xml:space="preserve"> digitalmente)</w:t>
      </w:r>
    </w:p>
    <w:p w:rsidR="00F74441" w:rsidRPr="004740DD" w:rsidP="004740DD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4740DD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4740DD" w:rsidP="004740DD" w14:paraId="4D47B5CD" w14:textId="77777777">
      <w:pPr>
        <w:spacing w:line="360" w:lineRule="auto"/>
        <w:jc w:val="center"/>
        <w:rPr>
          <w:sz w:val="24"/>
          <w:szCs w:val="24"/>
        </w:rPr>
      </w:pPr>
      <w:r w:rsidRPr="004740DD">
        <w:rPr>
          <w:sz w:val="24"/>
          <w:szCs w:val="24"/>
        </w:rPr>
        <w:t>Relator</w:t>
      </w:r>
    </w:p>
    <w:p w:rsidR="003D6D21" w:rsidRPr="004740DD" w:rsidP="004740DD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4740DD" w:rsidP="004740DD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DC3C63" w14:paraId="6833E28E" w14:textId="77777777">
      <w:pPr>
        <w:rPr>
          <w:rStyle w:val="Strong"/>
          <w:bCs w:val="0"/>
          <w:color w:val="404040"/>
          <w:sz w:val="24"/>
          <w:szCs w:val="24"/>
        </w:rPr>
      </w:pPr>
      <w:r>
        <w:rPr>
          <w:rStyle w:val="Strong"/>
          <w:b w:val="0"/>
          <w:bCs w:val="0"/>
          <w:color w:val="404040"/>
          <w:sz w:val="24"/>
          <w:szCs w:val="24"/>
        </w:rPr>
        <w:br w:type="page"/>
      </w:r>
    </w:p>
    <w:p w:rsidR="00F74441" w:rsidRPr="004740DD" w:rsidP="004740DD" w14:paraId="010DA84F" w14:textId="7B5432F5">
      <w:pPr>
        <w:pStyle w:val="Heading3"/>
        <w:spacing w:line="360" w:lineRule="auto"/>
        <w:rPr>
          <w:color w:val="404040"/>
          <w:sz w:val="24"/>
          <w:szCs w:val="24"/>
        </w:rPr>
      </w:pPr>
      <w:r>
        <w:rPr>
          <w:rStyle w:val="Strong"/>
          <w:b/>
          <w:bCs w:val="0"/>
          <w:color w:val="404040"/>
          <w:sz w:val="24"/>
          <w:szCs w:val="24"/>
        </w:rPr>
        <w:t>REFERÊNCIAS</w:t>
      </w:r>
    </w:p>
    <w:p w:rsidR="00AD4B45" w:rsidRPr="004740DD" w:rsidP="00DB5B53" w14:paraId="41F02429" w14:textId="77777777">
      <w:pPr>
        <w:pStyle w:val="NormalWeb"/>
        <w:numPr>
          <w:ilvl w:val="0"/>
          <w:numId w:val="17"/>
        </w:numPr>
        <w:spacing w:line="360" w:lineRule="auto"/>
        <w:jc w:val="both"/>
      </w:pPr>
      <w:r w:rsidRPr="004740DD">
        <w:t>Projeto de Lei nº 036/2025, Prefeitura Municipal de Mogi Mirim, pp. 3-10, 23-24 (Projeto de Lei nº 036_2025.pdf).</w:t>
      </w:r>
    </w:p>
    <w:p w:rsidR="00AD4B45" w:rsidRPr="004740DD" w:rsidP="00DB5B53" w14:paraId="34A81F79" w14:textId="77777777">
      <w:pPr>
        <w:pStyle w:val="NormalWeb"/>
        <w:numPr>
          <w:ilvl w:val="0"/>
          <w:numId w:val="17"/>
        </w:numPr>
        <w:spacing w:line="360" w:lineRule="auto"/>
        <w:jc w:val="both"/>
      </w:pPr>
      <w:r w:rsidRPr="004740DD">
        <w:t xml:space="preserve">Mensagem nº 017/25, Gabinete do Prefeito, datada de 9 de abril de 2025, pp. 1-3 (Mensagem 17 ao Projeto de Lei 36_2025 - </w:t>
      </w:r>
      <w:r w:rsidRPr="004740DD">
        <w:t>msg</w:t>
      </w:r>
      <w:r w:rsidRPr="004740DD">
        <w:t xml:space="preserve"> 17.pdf).</w:t>
      </w:r>
    </w:p>
    <w:p w:rsidR="00AD4B45" w:rsidRPr="004740DD" w:rsidP="00DB5B53" w14:paraId="30CC31FC" w14:textId="77777777">
      <w:pPr>
        <w:pStyle w:val="NormalWeb"/>
        <w:numPr>
          <w:ilvl w:val="0"/>
          <w:numId w:val="17"/>
        </w:numPr>
        <w:spacing w:line="360" w:lineRule="auto"/>
        <w:jc w:val="both"/>
      </w:pPr>
      <w:r w:rsidRPr="004740DD">
        <w:t>Consulta/0191/2025/JG/G, SGP Soluções em Gestão Pública, datada de 17 de abril de 2025, pp. 1-7 (Documentos Diversos 1_2025 ao Projeto de Lei 36_2025 - PARECER SGP - PL 36.2025 - executivo.pdf).</w:t>
      </w:r>
    </w:p>
    <w:p w:rsidR="00AD4B45" w:rsidRPr="004740DD" w:rsidP="00DB5B53" w14:paraId="24A65FE6" w14:textId="77777777">
      <w:pPr>
        <w:pStyle w:val="NormalWeb"/>
        <w:numPr>
          <w:ilvl w:val="0"/>
          <w:numId w:val="17"/>
        </w:numPr>
        <w:spacing w:line="360" w:lineRule="auto"/>
        <w:jc w:val="both"/>
      </w:pPr>
      <w:r w:rsidRPr="004740DD">
        <w:t xml:space="preserve">Constituição Federal de 1988, </w:t>
      </w:r>
      <w:r w:rsidRPr="004740DD">
        <w:t>arts</w:t>
      </w:r>
      <w:r w:rsidRPr="004740DD">
        <w:t>. 2º, 30, inciso I, 61, § 1º, inciso II, alíneas ‘b’ e ‘e’.</w:t>
      </w:r>
    </w:p>
    <w:p w:rsidR="00AD4B45" w:rsidRPr="004740DD" w:rsidP="00DB5B53" w14:paraId="1DB9BBBF" w14:textId="77777777">
      <w:pPr>
        <w:pStyle w:val="NormalWeb"/>
        <w:numPr>
          <w:ilvl w:val="0"/>
          <w:numId w:val="17"/>
        </w:numPr>
        <w:spacing w:line="360" w:lineRule="auto"/>
        <w:jc w:val="both"/>
      </w:pPr>
      <w:r w:rsidRPr="004740DD">
        <w:t>Lei Federal nº 4.320/1964, art. 68.</w:t>
      </w:r>
    </w:p>
    <w:p w:rsidR="00AD4B45" w:rsidRPr="004740DD" w:rsidP="00DB5B53" w14:paraId="796442E9" w14:textId="77777777">
      <w:pPr>
        <w:pStyle w:val="NormalWeb"/>
        <w:numPr>
          <w:ilvl w:val="0"/>
          <w:numId w:val="17"/>
        </w:numPr>
        <w:spacing w:line="360" w:lineRule="auto"/>
        <w:jc w:val="both"/>
      </w:pPr>
      <w:r w:rsidRPr="004740DD">
        <w:t>Lei Federal nº 14.133/2021 (nova Lei de Licitações).</w:t>
      </w:r>
    </w:p>
    <w:p w:rsidR="00AD4B45" w:rsidRPr="004740DD" w:rsidP="00DB5B53" w14:paraId="1667CB26" w14:textId="77777777">
      <w:pPr>
        <w:pStyle w:val="NormalWeb"/>
        <w:numPr>
          <w:ilvl w:val="0"/>
          <w:numId w:val="17"/>
        </w:numPr>
        <w:spacing w:line="360" w:lineRule="auto"/>
        <w:jc w:val="both"/>
      </w:pPr>
      <w:r w:rsidRPr="004740DD">
        <w:t>Lei Complementar nº 101/2000 (Lei de Responsabilidade Fiscal).</w:t>
      </w:r>
    </w:p>
    <w:p w:rsidR="00AD4B45" w:rsidRPr="004740DD" w:rsidP="00DB5B53" w14:paraId="26E936DD" w14:textId="77777777">
      <w:pPr>
        <w:pStyle w:val="NormalWeb"/>
        <w:numPr>
          <w:ilvl w:val="0"/>
          <w:numId w:val="17"/>
        </w:numPr>
        <w:spacing w:line="360" w:lineRule="auto"/>
        <w:jc w:val="both"/>
      </w:pPr>
      <w:r w:rsidRPr="004740DD">
        <w:t>José Afonso da Silva, Comentário Contextual à Constituição, 10ª ed., Malheiros, São Paulo, 2024, pp. 285-286 (citado em Parecer SGP, p. 3).</w:t>
      </w:r>
    </w:p>
    <w:p w:rsidR="00AD4B45" w:rsidRPr="004740DD" w:rsidP="00DB5B53" w14:paraId="5BEA8FC1" w14:textId="77777777">
      <w:pPr>
        <w:pStyle w:val="NormalWeb"/>
        <w:numPr>
          <w:ilvl w:val="0"/>
          <w:numId w:val="17"/>
        </w:numPr>
        <w:spacing w:line="360" w:lineRule="auto"/>
        <w:jc w:val="both"/>
      </w:pPr>
      <w:r w:rsidRPr="004740DD">
        <w:t>Hely Lopes Meirelles, Direito Municipal Brasileiro, 22ª ed., Malheiros, São Paulo, 2025, pp. 650, 672 (citado em Parecer SGP, pp. 3-4).</w:t>
      </w:r>
    </w:p>
    <w:p w:rsidR="00AD4B45" w:rsidRPr="004740DD" w:rsidP="00DB5B53" w14:paraId="5099C64A" w14:textId="77777777">
      <w:pPr>
        <w:pStyle w:val="NormalWeb"/>
        <w:numPr>
          <w:ilvl w:val="0"/>
          <w:numId w:val="17"/>
        </w:numPr>
        <w:spacing w:line="360" w:lineRule="auto"/>
        <w:jc w:val="both"/>
      </w:pPr>
      <w:r w:rsidRPr="004740DD">
        <w:t>Helio</w:t>
      </w:r>
      <w:r w:rsidRPr="004740DD">
        <w:t xml:space="preserve"> </w:t>
      </w:r>
      <w:r w:rsidRPr="004740DD">
        <w:t>Kohama</w:t>
      </w:r>
      <w:r w:rsidRPr="004740DD">
        <w:t>, Contabilidade Pública: Teoria e Prática, 15ª ed., Atlas, 2017, p. 172 (citado em Parecer SGP, p. 4).</w:t>
      </w:r>
    </w:p>
    <w:p w:rsidR="00AD4B45" w:rsidRPr="004740DD" w:rsidP="00DB5B53" w14:paraId="3658E34B" w14:textId="77777777">
      <w:pPr>
        <w:pStyle w:val="NormalWeb"/>
        <w:numPr>
          <w:ilvl w:val="0"/>
          <w:numId w:val="17"/>
        </w:numPr>
        <w:spacing w:line="360" w:lineRule="auto"/>
        <w:jc w:val="both"/>
      </w:pPr>
      <w:r w:rsidRPr="004740DD">
        <w:t>Resolução nº 278/2010, Regimento Interno da Câmara Municipal de Mogi Mirim, art. 35.</w:t>
      </w:r>
    </w:p>
    <w:p w:rsidR="003D6D21" w:rsidRPr="004740DD" w:rsidP="004740DD" w14:paraId="01CD8FE5" w14:textId="77777777">
      <w:pPr>
        <w:spacing w:line="360" w:lineRule="auto"/>
        <w:rPr>
          <w:color w:val="404040"/>
          <w:sz w:val="24"/>
          <w:szCs w:val="24"/>
        </w:rPr>
      </w:pPr>
      <w:r w:rsidRPr="004740DD">
        <w:rPr>
          <w:color w:val="404040"/>
          <w:sz w:val="24"/>
          <w:szCs w:val="24"/>
        </w:rPr>
        <w:br w:type="page"/>
      </w:r>
    </w:p>
    <w:p w:rsidR="00F55E24" w:rsidRPr="004740DD" w:rsidP="004740DD" w14:paraId="4570AF67" w14:textId="5B943995">
      <w:pPr>
        <w:pStyle w:val="NormalWeb"/>
        <w:spacing w:line="360" w:lineRule="auto"/>
        <w:jc w:val="both"/>
        <w:rPr>
          <w:rStyle w:val="Strong"/>
          <w:color w:val="404040"/>
        </w:rPr>
      </w:pPr>
      <w:bookmarkStart w:id="0" w:name="_GoBack"/>
      <w:r w:rsidRPr="004740DD">
        <w:rPr>
          <w:rStyle w:val="Strong"/>
          <w:color w:val="404040"/>
        </w:rPr>
        <w:t xml:space="preserve">PARECER </w:t>
      </w:r>
      <w:r w:rsidRPr="004740DD">
        <w:rPr>
          <w:rStyle w:val="Strong"/>
          <w:color w:val="404040"/>
        </w:rPr>
        <w:t>DA</w:t>
      </w:r>
      <w:r w:rsidRPr="004740DD" w:rsidR="004D7E50">
        <w:rPr>
          <w:rStyle w:val="Strong"/>
          <w:color w:val="404040"/>
        </w:rPr>
        <w:t xml:space="preserve"> COMISS</w:t>
      </w:r>
      <w:r w:rsidRPr="004740DD">
        <w:rPr>
          <w:rStyle w:val="Strong"/>
          <w:color w:val="404040"/>
        </w:rPr>
        <w:t>ÃO DE JUSTIÇA E REDAÇÃO</w:t>
      </w:r>
      <w:r w:rsidRPr="004740DD" w:rsidR="004D7E50">
        <w:rPr>
          <w:rStyle w:val="Strong"/>
          <w:color w:val="404040"/>
        </w:rPr>
        <w:t xml:space="preserve"> </w:t>
      </w:r>
      <w:r w:rsidRPr="004740DD" w:rsidR="00AD4B45">
        <w:rPr>
          <w:rStyle w:val="Strong"/>
          <w:color w:val="404040"/>
        </w:rPr>
        <w:t xml:space="preserve">AO PROJETO DE LEI Nº </w:t>
      </w:r>
      <w:r w:rsidRPr="004740DD">
        <w:rPr>
          <w:rStyle w:val="Strong"/>
          <w:color w:val="404040"/>
        </w:rPr>
        <w:t>3</w:t>
      </w:r>
      <w:r w:rsidRPr="004740DD" w:rsidR="00AD4B45">
        <w:rPr>
          <w:rStyle w:val="Strong"/>
          <w:color w:val="404040"/>
        </w:rPr>
        <w:t>6</w:t>
      </w:r>
      <w:r w:rsidRPr="004740DD">
        <w:rPr>
          <w:rStyle w:val="Strong"/>
          <w:color w:val="404040"/>
        </w:rPr>
        <w:t>/2025</w:t>
      </w:r>
    </w:p>
    <w:bookmarkEnd w:id="0"/>
    <w:p w:rsidR="005C2F3A" w:rsidRPr="004740DD" w:rsidP="004740DD" w14:paraId="23695C3C" w14:textId="54D3A602">
      <w:pPr>
        <w:pStyle w:val="NormalWeb"/>
        <w:spacing w:line="360" w:lineRule="auto"/>
        <w:jc w:val="both"/>
        <w:rPr>
          <w:color w:val="404040"/>
        </w:rPr>
      </w:pPr>
      <w:r w:rsidRPr="004740DD">
        <w:rPr>
          <w:color w:val="404040"/>
        </w:rPr>
        <w:tab/>
      </w:r>
      <w:r w:rsidRPr="00DC3C63" w:rsidR="00FF139E">
        <w:rPr>
          <w:color w:val="404040"/>
        </w:rPr>
        <w:t>A Comissão</w:t>
      </w:r>
      <w:r w:rsidRPr="00DC3C63" w:rsidR="004D7E50">
        <w:rPr>
          <w:color w:val="404040"/>
        </w:rPr>
        <w:t xml:space="preserve"> de Justiça e Redação </w:t>
      </w:r>
      <w:r w:rsidRPr="00DC3C63">
        <w:rPr>
          <w:color w:val="404040"/>
        </w:rPr>
        <w:t xml:space="preserve">no uso de suas atribuições regimentais, </w:t>
      </w:r>
      <w:r w:rsidRPr="00DC3C63" w:rsidR="00FF139E">
        <w:rPr>
          <w:color w:val="404040"/>
        </w:rPr>
        <w:t>nos termos do artigo</w:t>
      </w:r>
      <w:r w:rsidRPr="00DC3C63" w:rsidR="008B2B4D">
        <w:rPr>
          <w:color w:val="404040"/>
        </w:rPr>
        <w:t xml:space="preserve"> 35 </w:t>
      </w:r>
      <w:r w:rsidRPr="00DC3C63">
        <w:rPr>
          <w:color w:val="404040"/>
        </w:rPr>
        <w:t>da Resolução nº 276, de 09 de novembro de 2010, e após análise do </w:t>
      </w:r>
      <w:r w:rsidRPr="00DC3C63" w:rsidR="00AD4B45">
        <w:rPr>
          <w:b/>
          <w:bCs/>
        </w:rPr>
        <w:t>Projeto de Lei nº 36</w:t>
      </w:r>
      <w:r w:rsidRPr="00DC3C63">
        <w:rPr>
          <w:b/>
          <w:bCs/>
        </w:rPr>
        <w:t>/2025</w:t>
      </w:r>
      <w:r w:rsidRPr="00DC3C63">
        <w:rPr>
          <w:color w:val="404040"/>
        </w:rPr>
        <w:t>, </w:t>
      </w:r>
      <w:r w:rsidRPr="00DC3C63" w:rsidR="00FF139E">
        <w:rPr>
          <w:b/>
          <w:bCs/>
        </w:rPr>
        <w:t>manifesta</w:t>
      </w:r>
      <w:r w:rsidRPr="00DC3C63">
        <w:rPr>
          <w:b/>
          <w:bCs/>
        </w:rPr>
        <w:t>-se pela aprovação do projeto</w:t>
      </w:r>
      <w:r w:rsidRPr="00DC3C63" w:rsidR="00FF139E">
        <w:rPr>
          <w:color w:val="404040"/>
        </w:rPr>
        <w:t xml:space="preserve"> por entender</w:t>
      </w:r>
      <w:r w:rsidRPr="00DC3C63">
        <w:rPr>
          <w:color w:val="404040"/>
        </w:rPr>
        <w:t xml:space="preserve"> que ele está em conformidade com as normas legais e regimentais</w:t>
      </w:r>
      <w:r w:rsidRPr="00DC3C63" w:rsidR="00850EEC">
        <w:rPr>
          <w:color w:val="404040"/>
        </w:rPr>
        <w:t>.</w:t>
      </w:r>
    </w:p>
    <w:p w:rsidR="005C2F3A" w:rsidRPr="004740DD" w:rsidP="004740DD" w14:paraId="667645FE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RPr="004740DD" w:rsidP="004740DD" w14:paraId="018C4E2B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RPr="004740DD" w:rsidP="004740DD" w14:paraId="7E9F8B34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4740DD" w:rsidP="004740DD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4740DD">
        <w:rPr>
          <w:b/>
          <w:u w:val="single"/>
        </w:rPr>
        <w:t>COMISSÃO DE JUSTIÇA E REDAÇÃO</w:t>
      </w:r>
    </w:p>
    <w:p w:rsidR="005C2F3A" w:rsidRPr="004740DD" w:rsidP="004740DD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740DD">
        <w:rPr>
          <w:bCs/>
          <w:i/>
          <w:sz w:val="24"/>
          <w:szCs w:val="24"/>
        </w:rPr>
        <w:t>(</w:t>
      </w:r>
      <w:r w:rsidRPr="004740DD">
        <w:rPr>
          <w:bCs/>
          <w:i/>
          <w:sz w:val="24"/>
          <w:szCs w:val="24"/>
        </w:rPr>
        <w:t>assinado</w:t>
      </w:r>
      <w:r w:rsidRPr="004740DD">
        <w:rPr>
          <w:bCs/>
          <w:i/>
          <w:sz w:val="24"/>
          <w:szCs w:val="24"/>
        </w:rPr>
        <w:t xml:space="preserve"> digitalmente)</w:t>
      </w:r>
      <w:r w:rsidRPr="004740DD">
        <w:rPr>
          <w:bCs/>
          <w:i/>
          <w:sz w:val="24"/>
          <w:szCs w:val="24"/>
        </w:rPr>
        <w:br/>
      </w:r>
      <w:r w:rsidRPr="004740DD">
        <w:rPr>
          <w:b/>
          <w:sz w:val="24"/>
          <w:szCs w:val="24"/>
        </w:rPr>
        <w:t>VEREADOR WAGNER RICARDO PEREIRA</w:t>
      </w:r>
      <w:r w:rsidRPr="004740DD">
        <w:rPr>
          <w:b/>
          <w:sz w:val="24"/>
          <w:szCs w:val="24"/>
        </w:rPr>
        <w:br/>
      </w:r>
      <w:r w:rsidRPr="004740DD">
        <w:rPr>
          <w:sz w:val="24"/>
          <w:szCs w:val="24"/>
        </w:rPr>
        <w:t>Presidente</w:t>
      </w:r>
    </w:p>
    <w:p w:rsidR="005C2F3A" w:rsidRPr="004740DD" w:rsidP="004740DD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740DD">
        <w:rPr>
          <w:bCs/>
          <w:i/>
          <w:sz w:val="24"/>
          <w:szCs w:val="24"/>
        </w:rPr>
        <w:t>(</w:t>
      </w:r>
      <w:r w:rsidRPr="004740DD">
        <w:rPr>
          <w:bCs/>
          <w:i/>
          <w:sz w:val="24"/>
          <w:szCs w:val="24"/>
        </w:rPr>
        <w:t>assinado</w:t>
      </w:r>
      <w:r w:rsidRPr="004740DD">
        <w:rPr>
          <w:bCs/>
          <w:i/>
          <w:sz w:val="24"/>
          <w:szCs w:val="24"/>
        </w:rPr>
        <w:t xml:space="preserve"> digitalmente)</w:t>
      </w:r>
      <w:r w:rsidRPr="004740DD">
        <w:rPr>
          <w:bCs/>
          <w:i/>
          <w:sz w:val="24"/>
          <w:szCs w:val="24"/>
        </w:rPr>
        <w:br/>
      </w:r>
      <w:r w:rsidRPr="004740DD">
        <w:rPr>
          <w:b/>
          <w:sz w:val="24"/>
          <w:szCs w:val="24"/>
        </w:rPr>
        <w:t>VEREADOR MANOEL EDUARDO PEREIRA DA CRUZ PALOMINO</w:t>
      </w:r>
      <w:r w:rsidRPr="004740DD">
        <w:rPr>
          <w:b/>
          <w:sz w:val="24"/>
          <w:szCs w:val="24"/>
        </w:rPr>
        <w:br/>
      </w:r>
      <w:r w:rsidRPr="004740DD">
        <w:rPr>
          <w:sz w:val="24"/>
          <w:szCs w:val="24"/>
        </w:rPr>
        <w:t>Vice-Presidente</w:t>
      </w:r>
    </w:p>
    <w:p w:rsidR="005C2F3A" w:rsidRPr="004740DD" w:rsidP="004740DD" w14:paraId="162B0DB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740DD">
        <w:rPr>
          <w:bCs/>
          <w:i/>
          <w:sz w:val="24"/>
          <w:szCs w:val="24"/>
        </w:rPr>
        <w:t>(</w:t>
      </w:r>
      <w:r w:rsidRPr="004740DD">
        <w:rPr>
          <w:bCs/>
          <w:i/>
          <w:sz w:val="24"/>
          <w:szCs w:val="24"/>
        </w:rPr>
        <w:t>assinado</w:t>
      </w:r>
      <w:r w:rsidRPr="004740DD">
        <w:rPr>
          <w:bCs/>
          <w:i/>
          <w:sz w:val="24"/>
          <w:szCs w:val="24"/>
        </w:rPr>
        <w:t xml:space="preserve"> digitalmente)</w:t>
      </w:r>
      <w:r w:rsidRPr="004740DD">
        <w:rPr>
          <w:bCs/>
          <w:i/>
          <w:sz w:val="24"/>
          <w:szCs w:val="24"/>
        </w:rPr>
        <w:br/>
      </w:r>
      <w:r w:rsidRPr="004740DD">
        <w:rPr>
          <w:b/>
          <w:sz w:val="24"/>
          <w:szCs w:val="24"/>
        </w:rPr>
        <w:t>VEREADOR JOÃO VICTOR GASPARINI</w:t>
      </w:r>
      <w:r w:rsidRPr="004740DD">
        <w:rPr>
          <w:b/>
          <w:sz w:val="24"/>
          <w:szCs w:val="24"/>
        </w:rPr>
        <w:br/>
      </w:r>
      <w:r w:rsidRPr="004740DD">
        <w:rPr>
          <w:sz w:val="24"/>
          <w:szCs w:val="24"/>
        </w:rPr>
        <w:t>Membro</w:t>
      </w:r>
    </w:p>
    <w:p w:rsidR="005C2F3A" w:rsidRPr="004740DD" w:rsidP="004740DD" w14:paraId="0CB9D9B5" w14:textId="77777777">
      <w:pPr>
        <w:spacing w:line="360" w:lineRule="auto"/>
        <w:jc w:val="center"/>
        <w:rPr>
          <w:b/>
          <w:sz w:val="24"/>
          <w:szCs w:val="24"/>
        </w:rPr>
      </w:pPr>
    </w:p>
    <w:p w:rsidR="005C2F3A" w:rsidRPr="004740DD" w:rsidP="004740DD" w14:paraId="50E1BF62" w14:textId="0DFE27C7">
      <w:pPr>
        <w:spacing w:line="360" w:lineRule="auto"/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82330"/>
    <w:multiLevelType w:val="multilevel"/>
    <w:tmpl w:val="6852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75DEB"/>
    <w:multiLevelType w:val="multilevel"/>
    <w:tmpl w:val="A644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7"/>
  </w:num>
  <w:num w:numId="5">
    <w:abstractNumId w:val="15"/>
  </w:num>
  <w:num w:numId="6">
    <w:abstractNumId w:val="16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0"/>
  </w:num>
  <w:num w:numId="14">
    <w:abstractNumId w:val="2"/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740DD"/>
    <w:rsid w:val="004B6FDF"/>
    <w:rsid w:val="004D46DA"/>
    <w:rsid w:val="004D7E50"/>
    <w:rsid w:val="004E6092"/>
    <w:rsid w:val="005242B1"/>
    <w:rsid w:val="005559D9"/>
    <w:rsid w:val="0057515A"/>
    <w:rsid w:val="005A235E"/>
    <w:rsid w:val="005B766F"/>
    <w:rsid w:val="005C2F3A"/>
    <w:rsid w:val="005E491E"/>
    <w:rsid w:val="005F2654"/>
    <w:rsid w:val="005F4E55"/>
    <w:rsid w:val="005F54DA"/>
    <w:rsid w:val="00613747"/>
    <w:rsid w:val="006834FE"/>
    <w:rsid w:val="00697874"/>
    <w:rsid w:val="006A54A9"/>
    <w:rsid w:val="007038AD"/>
    <w:rsid w:val="0070466D"/>
    <w:rsid w:val="007362C7"/>
    <w:rsid w:val="007556D8"/>
    <w:rsid w:val="0078178E"/>
    <w:rsid w:val="00784CD4"/>
    <w:rsid w:val="00785E1B"/>
    <w:rsid w:val="007A08D1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4AA2"/>
    <w:rsid w:val="00902EE1"/>
    <w:rsid w:val="00904ADF"/>
    <w:rsid w:val="00914ADC"/>
    <w:rsid w:val="00920A3F"/>
    <w:rsid w:val="00925E1A"/>
    <w:rsid w:val="009914A7"/>
    <w:rsid w:val="009D6B7C"/>
    <w:rsid w:val="009F0405"/>
    <w:rsid w:val="00A00E3E"/>
    <w:rsid w:val="00A12DD9"/>
    <w:rsid w:val="00A164DC"/>
    <w:rsid w:val="00A27446"/>
    <w:rsid w:val="00A672C0"/>
    <w:rsid w:val="00AD2770"/>
    <w:rsid w:val="00AD4B45"/>
    <w:rsid w:val="00AE5858"/>
    <w:rsid w:val="00AF0C05"/>
    <w:rsid w:val="00AF3296"/>
    <w:rsid w:val="00AF4AC7"/>
    <w:rsid w:val="00B57090"/>
    <w:rsid w:val="00BA48C7"/>
    <w:rsid w:val="00BE41D6"/>
    <w:rsid w:val="00BF2A6F"/>
    <w:rsid w:val="00C10154"/>
    <w:rsid w:val="00C74E3F"/>
    <w:rsid w:val="00C75973"/>
    <w:rsid w:val="00CA4349"/>
    <w:rsid w:val="00CC3E72"/>
    <w:rsid w:val="00CC602E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B5B53"/>
    <w:rsid w:val="00DC3C63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1F4B"/>
    <w:rsid w:val="00F921DB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7</Pages>
  <Words>1641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13</cp:revision>
  <cp:lastPrinted>2024-11-28T14:11:00Z</cp:lastPrinted>
  <dcterms:created xsi:type="dcterms:W3CDTF">2025-02-12T16:35:00Z</dcterms:created>
  <dcterms:modified xsi:type="dcterms:W3CDTF">2025-05-14T17:25:00Z</dcterms:modified>
</cp:coreProperties>
</file>