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Requerimento Nº 285/2025</w:t>
      </w:r>
      <w:r w:rsidRPr="0065323A">
        <w:rPr>
          <w:rFonts w:ascii="Arial" w:hAnsi="Arial" w:cs="Arial"/>
          <w:b/>
          <w:sz w:val="34"/>
        </w:rPr>
        <w:t>Requerimento Nº 285/2025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9D09F9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REQUEIRO HOMENAGEM EM COMEMORAÇÃO DOS 21 ANOS DA INTER ONCO DO HOSPITAL 22 DE OUTUBRO, A SER REALIZADA NO DIA 11 DE JULHO DE 2025, A PARTIR DAS 13:30 HS NO HOSPITAL 22 DE OUTUBRO</w:t>
      </w:r>
    </w:p>
    <w:bookmarkEnd w:id="0"/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E25359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5359">
        <w:rPr>
          <w:rFonts w:ascii="Arial" w:hAnsi="Arial" w:cs="Arial"/>
          <w:b/>
          <w:sz w:val="22"/>
          <w:szCs w:val="22"/>
        </w:rPr>
        <w:t>Senhor Presidente</w:t>
      </w:r>
      <w:r w:rsidRPr="00E25359" w:rsidR="00392756">
        <w:rPr>
          <w:rFonts w:ascii="Arial" w:hAnsi="Arial" w:cs="Arial"/>
          <w:b/>
          <w:sz w:val="22"/>
          <w:szCs w:val="22"/>
        </w:rPr>
        <w:t>,</w:t>
      </w:r>
    </w:p>
    <w:p w:rsidR="00B50FCF" w:rsidRPr="00E25359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5359">
        <w:rPr>
          <w:rFonts w:ascii="Arial" w:hAnsi="Arial" w:cs="Arial"/>
          <w:b/>
          <w:sz w:val="22"/>
          <w:szCs w:val="22"/>
        </w:rPr>
        <w:t>Senhoras e Senhores Vereadores</w:t>
      </w:r>
      <w:r w:rsidRPr="00E25359" w:rsidR="00392756">
        <w:rPr>
          <w:rFonts w:ascii="Arial" w:hAnsi="Arial" w:cs="Arial"/>
          <w:b/>
          <w:sz w:val="22"/>
          <w:szCs w:val="22"/>
        </w:rPr>
        <w:t>,</w:t>
      </w:r>
    </w:p>
    <w:p w:rsidR="00B50FCF" w:rsidRPr="00E25359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92756" w:rsidRPr="00E25359" w:rsidP="00E2535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 Considerando a prerrogativa do Poder Legislativo que: “Dispõe sobre a Concessão de Títulos Honoríficos, “Diploma de Mérito </w:t>
      </w:r>
      <w:r w:rsidRPr="00E25359">
        <w:rPr>
          <w:rFonts w:ascii="Arial" w:hAnsi="Arial" w:cs="Arial"/>
          <w:sz w:val="22"/>
          <w:szCs w:val="22"/>
        </w:rPr>
        <w:t>Mogimiriano</w:t>
      </w:r>
      <w:r w:rsidRPr="00E25359">
        <w:rPr>
          <w:rFonts w:ascii="Arial" w:hAnsi="Arial" w:cs="Arial"/>
          <w:sz w:val="22"/>
          <w:szCs w:val="22"/>
        </w:rPr>
        <w:t>”, prevista pela Lei Complementar n° 317/2016 que promoveu alter</w:t>
      </w:r>
      <w:r w:rsidR="00E25359">
        <w:rPr>
          <w:rFonts w:ascii="Arial" w:hAnsi="Arial" w:cs="Arial"/>
          <w:sz w:val="22"/>
          <w:szCs w:val="22"/>
        </w:rPr>
        <w:t>ações na Lei Compleme</w:t>
      </w:r>
      <w:r w:rsidRPr="00E25359">
        <w:rPr>
          <w:rFonts w:ascii="Arial" w:hAnsi="Arial" w:cs="Arial"/>
          <w:sz w:val="22"/>
          <w:szCs w:val="22"/>
        </w:rPr>
        <w:t>ntar n° 069/1998.</w:t>
      </w:r>
    </w:p>
    <w:p w:rsidR="00E25359" w:rsidRPr="00E25359" w:rsidP="00E2535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Considerando que a Inter </w:t>
      </w:r>
      <w:r w:rsidRPr="00E25359">
        <w:rPr>
          <w:rFonts w:ascii="Arial" w:hAnsi="Arial" w:cs="Arial"/>
          <w:sz w:val="22"/>
          <w:szCs w:val="22"/>
        </w:rPr>
        <w:t>Onco</w:t>
      </w:r>
      <w:r w:rsidRPr="00E25359">
        <w:rPr>
          <w:rFonts w:ascii="Arial" w:hAnsi="Arial" w:cs="Arial"/>
          <w:sz w:val="22"/>
          <w:szCs w:val="22"/>
        </w:rPr>
        <w:t xml:space="preserve"> completou 21 anos de atividades no dia 18 de abril de 2025</w:t>
      </w:r>
      <w:r w:rsidRPr="00E25359">
        <w:rPr>
          <w:rFonts w:ascii="Arial" w:hAnsi="Arial" w:cs="Arial"/>
          <w:sz w:val="22"/>
          <w:szCs w:val="22"/>
        </w:rPr>
        <w:t>.</w:t>
      </w:r>
    </w:p>
    <w:p w:rsidR="00E25359" w:rsidRPr="00E25359" w:rsidP="00E2535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Considerando a importância que a empresa representa no atendimento profissional e humanizado aos pacientes.</w:t>
      </w:r>
    </w:p>
    <w:p w:rsidR="00E25359" w:rsidRPr="00E25359" w:rsidP="00E2535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Requeiro à Mesa, na forma regimental, seja oficiada a MESA DA CÂMARA MUNICIPAL DE MOGI MIRIM, para que seja realizada:</w:t>
      </w:r>
    </w:p>
    <w:p w:rsidR="00E25359" w:rsidP="00E2535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392756" w:rsidP="00E25359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Pr="00E25359">
        <w:rPr>
          <w:rFonts w:ascii="Arial" w:hAnsi="Arial" w:cs="Arial"/>
          <w:b/>
          <w:sz w:val="22"/>
          <w:szCs w:val="22"/>
          <w:u w:val="single"/>
        </w:rPr>
        <w:t>HOMENAGEM</w:t>
      </w:r>
      <w:r w:rsidRPr="00E253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5359" w:rsidRPr="00E25359" w:rsidP="00E25359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D09F9" w:rsidRPr="00E25359" w:rsidP="00E2535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5359">
        <w:rPr>
          <w:rFonts w:ascii="Arial" w:hAnsi="Arial" w:cs="Arial"/>
          <w:sz w:val="22"/>
          <w:szCs w:val="22"/>
        </w:rPr>
        <w:t xml:space="preserve">             A cerimônia será realizada no dia 11 de julho de 2025, a partir das 13:30 </w:t>
      </w:r>
      <w:r w:rsidRPr="00E25359">
        <w:rPr>
          <w:rFonts w:ascii="Arial" w:hAnsi="Arial" w:cs="Arial"/>
          <w:sz w:val="22"/>
          <w:szCs w:val="22"/>
        </w:rPr>
        <w:t>hs</w:t>
      </w:r>
      <w:r w:rsidRPr="00E25359">
        <w:rPr>
          <w:rFonts w:ascii="Arial" w:hAnsi="Arial" w:cs="Arial"/>
          <w:sz w:val="22"/>
          <w:szCs w:val="22"/>
        </w:rPr>
        <w:t>, no Hospital 22 de outubro.</w:t>
      </w:r>
    </w:p>
    <w:p w:rsidR="00E25359" w:rsidRPr="00E25359" w:rsidP="00E25359">
      <w:pPr>
        <w:pStyle w:val="Default"/>
        <w:jc w:val="both"/>
        <w:rPr>
          <w:sz w:val="22"/>
          <w:szCs w:val="22"/>
        </w:rPr>
      </w:pPr>
      <w:r w:rsidRPr="00E25359">
        <w:rPr>
          <w:sz w:val="22"/>
          <w:szCs w:val="22"/>
        </w:rPr>
        <w:t xml:space="preserve">            Na oportunidade será outorgada pelo Poder Legislativo, Placa Comemorativa, em homenagem aos 21 anos de fundação da Inter </w:t>
      </w:r>
      <w:r w:rsidRPr="00E25359">
        <w:rPr>
          <w:sz w:val="22"/>
          <w:szCs w:val="22"/>
        </w:rPr>
        <w:t>Onco</w:t>
      </w:r>
      <w:r w:rsidRPr="00E25359">
        <w:rPr>
          <w:sz w:val="22"/>
          <w:szCs w:val="22"/>
        </w:rPr>
        <w:t xml:space="preserve">, que durante estes anos de atividades no </w:t>
      </w:r>
      <w:r w:rsidRPr="00E25359">
        <w:rPr>
          <w:sz w:val="22"/>
          <w:szCs w:val="22"/>
        </w:rPr>
        <w:t xml:space="preserve">setor de Oncologia do Hospital 22 de Outubro busca a excelência no atendimento aos pacientes, oferecendo um serviço individualizado, com qualidade técnica e atendimento humanizado, desde o atendimento inicial até a conclusão das sessões de quimioterapia, oferecendo conforto e tranquilidade aos pacientes e seus familiares. </w:t>
      </w:r>
    </w:p>
    <w:p w:rsidR="00E25359" w:rsidRPr="00E25359" w:rsidP="00E25359">
      <w:pPr>
        <w:pStyle w:val="Default"/>
        <w:rPr>
          <w:sz w:val="22"/>
          <w:szCs w:val="22"/>
        </w:rPr>
      </w:pPr>
    </w:p>
    <w:p w:rsidR="00E25359" w:rsidP="00E25359">
      <w:pPr>
        <w:pStyle w:val="Default"/>
        <w:rPr>
          <w:sz w:val="22"/>
          <w:szCs w:val="22"/>
        </w:rPr>
      </w:pPr>
      <w:r w:rsidRPr="00E25359">
        <w:rPr>
          <w:sz w:val="22"/>
          <w:szCs w:val="22"/>
        </w:rPr>
        <w:t xml:space="preserve">            Por fim, reiteramos os protestos de respeito e consideração.</w:t>
      </w:r>
    </w:p>
    <w:p w:rsidR="00E25359" w:rsidRPr="00E25359" w:rsidP="00E25359">
      <w:pPr>
        <w:pStyle w:val="Default"/>
        <w:rPr>
          <w:sz w:val="22"/>
          <w:szCs w:val="22"/>
        </w:rPr>
      </w:pPr>
    </w:p>
    <w:p w:rsidR="00E25359" w:rsidRPr="00E25359" w:rsidP="00E25359">
      <w:pPr>
        <w:pStyle w:val="Default"/>
        <w:rPr>
          <w:sz w:val="22"/>
          <w:szCs w:val="22"/>
        </w:rPr>
      </w:pPr>
    </w:p>
    <w:p w:rsidR="00E25359" w:rsidRPr="00E25359" w:rsidP="00E25359">
      <w:pPr>
        <w:pStyle w:val="Default"/>
        <w:rPr>
          <w:b/>
          <w:sz w:val="22"/>
          <w:szCs w:val="22"/>
        </w:rPr>
      </w:pPr>
      <w:r w:rsidRPr="00E25359">
        <w:rPr>
          <w:b/>
          <w:sz w:val="22"/>
          <w:szCs w:val="22"/>
        </w:rPr>
        <w:t xml:space="preserve">SALA DAS SESSÕES “VEREADOR SANTO RÓTOLLI”, 16 DE </w:t>
      </w:r>
      <w:r w:rsidRPr="00E25359">
        <w:rPr>
          <w:b/>
          <w:sz w:val="22"/>
          <w:szCs w:val="22"/>
        </w:rPr>
        <w:t>MAIO</w:t>
      </w:r>
      <w:r w:rsidRPr="00E25359">
        <w:rPr>
          <w:b/>
          <w:sz w:val="22"/>
          <w:szCs w:val="22"/>
        </w:rPr>
        <w:t xml:space="preserve"> DE 2025</w:t>
      </w:r>
    </w:p>
    <w:p w:rsidR="009D09F9" w:rsidRPr="00E25359" w:rsidP="00F1596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B50FCF" w:rsidRPr="00E25359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E25359">
        <w:rPr>
          <w:rFonts w:ascii="Arial" w:hAnsi="Arial" w:cs="Arial"/>
          <w:noProof/>
          <w:lang w:eastAsia="pt-BR"/>
        </w:rPr>
        <w:t>Assinado digitalmente</w:t>
      </w:r>
    </w:p>
    <w:p w:rsidR="00B645FB" w:rsidP="00E25359">
      <w:pPr>
        <w:pStyle w:val="Standard"/>
        <w:spacing w:line="360" w:lineRule="auto"/>
      </w:pPr>
      <w:r w:rsidRPr="00E25359">
        <w:rPr>
          <w:rFonts w:ascii="Arial" w:hAnsi="Arial" w:cs="Arial"/>
          <w:b/>
          <w:sz w:val="22"/>
          <w:szCs w:val="22"/>
        </w:rPr>
        <w:t xml:space="preserve">VEREADOR PROFESSOR CINOÊ DUZO (PP) </w:t>
      </w:r>
    </w:p>
    <w:sectPr w:rsidSect="00E25359">
      <w:headerReference w:type="default" r:id="rId4"/>
      <w:pgSz w:w="11906" w:h="16838"/>
      <w:pgMar w:top="1216" w:right="1701" w:bottom="993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9247A"/>
    <w:rsid w:val="00392756"/>
    <w:rsid w:val="00522BE4"/>
    <w:rsid w:val="00602985"/>
    <w:rsid w:val="0065323A"/>
    <w:rsid w:val="00703258"/>
    <w:rsid w:val="00723D51"/>
    <w:rsid w:val="00734ED4"/>
    <w:rsid w:val="00794FF5"/>
    <w:rsid w:val="007C6BFD"/>
    <w:rsid w:val="00812D25"/>
    <w:rsid w:val="008C6135"/>
    <w:rsid w:val="009D09F9"/>
    <w:rsid w:val="00B50FCF"/>
    <w:rsid w:val="00B645FB"/>
    <w:rsid w:val="00B72ED5"/>
    <w:rsid w:val="00B91BF4"/>
    <w:rsid w:val="00BB25C7"/>
    <w:rsid w:val="00BF1AAF"/>
    <w:rsid w:val="00D61F30"/>
    <w:rsid w:val="00E25359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E253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2025-05-16T11:58:35Z</cp:lastPrinted>
  <dcterms:created xsi:type="dcterms:W3CDTF">2025-05-16T11:57:00Z</dcterms:created>
  <dcterms:modified xsi:type="dcterms:W3CDTF">2025-05-16T11:57:00Z</dcterms:modified>
</cp:coreProperties>
</file>