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RELATÓRIO</w:t>
      </w: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PROCESSO Nº </w:t>
      </w:r>
      <w:r>
        <w:rPr>
          <w:rFonts w:ascii="Bookman Old Style" w:hAnsi="Bookman Old Style" w:cstheme="minorHAnsi"/>
          <w:b/>
          <w:sz w:val="24"/>
          <w:szCs w:val="24"/>
          <w:u w:val="single"/>
        </w:rPr>
        <w:t>58</w:t>
      </w: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 de 2025</w:t>
      </w:r>
    </w:p>
    <w:p>
      <w:pPr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sz w:val="24"/>
          <w:szCs w:val="24"/>
        </w:rPr>
        <w:tab/>
        <w:t xml:space="preserve">Conforme determina o artigo 37 do Regimento Interno Vigente, a </w:t>
      </w:r>
      <w:r>
        <w:rPr>
          <w:rFonts w:ascii="Bookman Old Style" w:hAnsi="Bookman Old Style" w:cstheme="minorHAnsi"/>
          <w:b/>
          <w:bCs/>
          <w:sz w:val="24"/>
          <w:szCs w:val="24"/>
        </w:rPr>
        <w:t> COMISSÃO DE FINANÇAS E ORÇAMENTO</w:t>
      </w:r>
      <w:r>
        <w:rPr>
          <w:rFonts w:ascii="Bookman Old Style" w:hAnsi="Bookman Old Style" w:cstheme="minorHAnsi"/>
          <w:b w:val="0"/>
          <w:bCs w:val="0"/>
          <w:sz w:val="24"/>
          <w:szCs w:val="24"/>
        </w:rPr>
        <w:t xml:space="preserve"> tem a competência de </w:t>
      </w:r>
      <w:r>
        <w:rPr>
          <w:rFonts w:ascii="Bookman Old Style" w:hAnsi="Bookman Old Style" w:cstheme="minorHAnsi"/>
          <w:sz w:val="24"/>
          <w:szCs w:val="24"/>
        </w:rPr>
        <w:t xml:space="preserve">apresentar o presente Relatório em relação ao Projeto de Decreto Legislativo nº </w:t>
      </w:r>
      <w:r>
        <w:rPr>
          <w:rFonts w:ascii="Bookman Old Style" w:hAnsi="Bookman Old Style" w:cstheme="minorHAnsi"/>
          <w:sz w:val="24"/>
          <w:szCs w:val="24"/>
        </w:rPr>
        <w:t>08</w:t>
      </w:r>
      <w:r>
        <w:rPr>
          <w:rFonts w:ascii="Bookman Old Style" w:hAnsi="Bookman Old Style" w:cstheme="minorHAnsi"/>
          <w:sz w:val="24"/>
          <w:szCs w:val="24"/>
        </w:rPr>
        <w:t xml:space="preserve"> de 2025, de autoria do 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Vereador </w:t>
      </w:r>
      <w:r>
        <w:rPr>
          <w:rFonts w:ascii="Bookman Old Style" w:hAnsi="Bookman Old Style" w:cstheme="minorHAnsi"/>
          <w:b/>
          <w:bCs/>
          <w:sz w:val="24"/>
          <w:szCs w:val="24"/>
        </w:rPr>
        <w:t>Wagner Ricardo Pereira</w:t>
      </w:r>
      <w:r>
        <w:rPr>
          <w:rFonts w:ascii="Bookman Old Style" w:hAnsi="Bookman Old Style" w:cstheme="minorHAnsi"/>
          <w:sz w:val="24"/>
          <w:szCs w:val="24"/>
        </w:rPr>
        <w:t xml:space="preserve">, cuja a relatoria foi atribuída ao 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Vereador Marcos Paulo Cegatti. </w:t>
      </w: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>
      <w:pPr>
        <w:jc w:val="both"/>
        <w:rPr>
          <w:rFonts w:ascii="Bookman Old Style" w:hAnsi="Bookman Old Style"/>
        </w:rPr>
      </w:pP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b/>
          <w:color w:val="000000"/>
          <w:sz w:val="24"/>
          <w:szCs w:val="24"/>
        </w:rPr>
        <w:t>I. Exposição da Matéria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</w:rPr>
        <w:t>A presente proposição visa instituir uma Frente Parlamentar destinada a promover o diálogo, a articulação e o desenvolvimento de políticas públicas voltadas ao setor agrícola e ao agronegócio.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</w:rPr>
        <w:tab/>
        <w:t>De acordo com o texto apresentado, a Frente Parlamentar atuará em parceria com órgãos municipais e estaduais, além de entidades civis organizadas, sindicatos rurais, produtores de diversas escalas e conselhos municipais, objetivando o fortalecimento do setor por meio de ações coordenadas e sustentáveis.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</w:rPr>
        <w:tab/>
        <w:t>A justificativa do autor destaca a significativa relevância do agronegócio para a economia local, bem como a ampla extensão rural do Município. Ressalta-se que a união de esforços por meio da Frente contribuirá para a formulação de políticas públicas eficazes, voltadas ao fortalecimento do setor e ao desenvolvimento das comunidades rurais.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II. Do mérito e conclusões do Relator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ab/>
        <w:t xml:space="preserve">Após análise detalhada, o Relator conclui que a criação da Frente Parlamentar da </w:t>
      </w: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>Agricultura e Agronegócio</w:t>
      </w: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 xml:space="preserve"> representa uma iniciativa de grande relevância para o município de Mogi Mirim. A proposta visa não apenas avaliar a situação atual, mas também propor soluções e melhorias que contribuam para </w:t>
      </w: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>um desenvolvimento sustentável do agronegócio no municipio</w:t>
      </w: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>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ab/>
        <w:t xml:space="preserve">Nesse sentido, não foram identificadas irregularidades na propositura em análise, o que implica a ausência de obstáculos que possam impedir a continuidade da tramitação do projeto. A iniciativa do </w:t>
      </w: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 xml:space="preserve">Vereador </w:t>
      </w: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>Wagner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>Ricardo Pereira</w:t>
      </w: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 xml:space="preserve"> demonstra alinhamento com as demandas da população e com os objetivos de desenvolvimento </w:t>
      </w: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>rural</w:t>
      </w: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 xml:space="preserve"> e social do município.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ab/>
        <w:t>Por fim, a Comissão de Finanças e Orçamento não vislumbra nenhum ônus aos cofres públicos municipais com a criação da Frente Parlamentar, uma vez que sua estruturação e funcionamento não demandarão recursos adicionais significativos. Dessa forma, não há impedimentos de natureza financeira que justifiquem a rejeição da proposta.</w:t>
      </w:r>
    </w:p>
    <w:p>
      <w:pPr>
        <w:pStyle w:val="BodyText"/>
        <w:jc w:val="both"/>
        <w:rPr>
          <w:rFonts w:ascii="Bookman Old Style" w:eastAsia="Calibri" w:hAnsi="Bookman Old Style" w:cstheme="minorHAnsi"/>
          <w:bCs/>
          <w:color w:val="000000"/>
          <w:sz w:val="24"/>
          <w:szCs w:val="24"/>
          <w:lang w:eastAsia="ar-SA"/>
        </w:rPr>
      </w:pPr>
    </w:p>
    <w:p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III. Substitutivos, Emendas ou subemendas ao Projeto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ab/>
      </w:r>
      <w:r>
        <w:rPr>
          <w:rFonts w:ascii="Bookman Old Style" w:eastAsia="Arial" w:hAnsi="Bookman Old Style" w:cstheme="minorHAnsi"/>
          <w:b w:val="0"/>
          <w:bCs w:val="0"/>
          <w:color w:val="000000"/>
          <w:sz w:val="24"/>
          <w:szCs w:val="24"/>
        </w:rPr>
        <w:t>Após criteriosa avaliação, esta Relatoria não identificou a necessidade de propor emendas, subemendas ou substitutivos ao projeto em análise. A proposição encontra-se bem fundamentada e alinhada com os interesses da coletividade.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IV. Decisão do Relator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theme="minorHAnsi"/>
          <w:color w:val="000000"/>
          <w:sz w:val="24"/>
          <w:szCs w:val="24"/>
        </w:rPr>
        <w:tab/>
        <w:t xml:space="preserve">Diante do exposto, esta Relatoria conclui que a presente propositura não apresenta vícios que possam prejudicar sua tramitação. Portanto, com base na análise realizada por esta Comissão, é com satisfação que o presente parecer é apresentado como </w:t>
      </w:r>
      <w:r>
        <w:rPr>
          <w:rFonts w:ascii="Bookman Old Style" w:eastAsia="Arial" w:hAnsi="Bookman Old Style" w:cstheme="minorHAnsi"/>
          <w:b/>
          <w:bCs/>
          <w:color w:val="000000"/>
          <w:sz w:val="24"/>
          <w:szCs w:val="24"/>
        </w:rPr>
        <w:t>FAVORÁVEL</w:t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à aprovação do Projeto de Decreto Legislativo nº 0</w:t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>8</w:t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de 2025. Recomenda-se que o Plenário aprecie a matéria com vistas ao benefício da coletividade e ao aprimoramento das políticas públicas de segurança e defesa civil em nossa estimada cidade de Mogi Mirim.</w:t>
      </w: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i w:val="0"/>
          <w:iCs w:val="0"/>
        </w:rPr>
      </w:pPr>
      <w:r>
        <w:rPr>
          <w:rFonts w:ascii="Bookman Old Style" w:hAnsi="Bookman Old Style" w:cstheme="minorHAnsi"/>
          <w:b/>
          <w:i w:val="0"/>
          <w:iCs w:val="0"/>
          <w:sz w:val="24"/>
          <w:szCs w:val="24"/>
        </w:rPr>
        <w:t>Vereador Marcos Paulo Cegatti</w:t>
      </w:r>
    </w:p>
    <w:p>
      <w:pPr>
        <w:jc w:val="center"/>
        <w:rPr>
          <w:rFonts w:ascii="Bookman Old Style" w:hAnsi="Bookman Old Style"/>
          <w:i w:val="0"/>
          <w:iCs w:val="0"/>
        </w:rPr>
      </w:pPr>
      <w:r>
        <w:rPr>
          <w:rFonts w:ascii="Bookman Old Style" w:eastAsia="Arial" w:hAnsi="Bookman Old Style" w:cstheme="minorHAnsi"/>
          <w:i w:val="0"/>
          <w:iCs w:val="0"/>
          <w:sz w:val="24"/>
          <w:szCs w:val="24"/>
        </w:rPr>
        <w:t>Membro da Comissão</w:t>
      </w:r>
    </w:p>
    <w:p>
      <w:pPr>
        <w:jc w:val="center"/>
        <w:rPr>
          <w:rFonts w:ascii="Bookman Old Style" w:eastAsia="Arial" w:hAnsi="Bookman Old Style" w:cstheme="minorHAnsi"/>
          <w:i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>
      <w:pPr>
        <w:jc w:val="both"/>
        <w:rPr>
          <w:rFonts w:ascii="Bookman Old Style" w:hAnsi="Bookman Old Style"/>
        </w:rPr>
      </w:pPr>
    </w:p>
    <w:p>
      <w:pPr>
        <w:jc w:val="both"/>
        <w:rPr>
          <w:rFonts w:ascii="Bookman Old Style" w:hAnsi="Bookman Old Style"/>
        </w:rPr>
      </w:pP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PARECER DA COMISSÃO DE 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 xml:space="preserve">COMISSÃO DE FINANÇAS E ORÇAMENTO </w:t>
      </w: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REFERENTE AO PROJETO DE DECRETO LEGISLATIVO Nº 0</w:t>
      </w: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8</w:t>
      </w: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DE 2025  DE AUTORIA DO VEREADOR WAGNER RICARDO PEREIRA.</w:t>
      </w:r>
    </w:p>
    <w:p>
      <w:pPr>
        <w:pStyle w:val="BodyText"/>
        <w:spacing w:line="240" w:lineRule="auto"/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>Em estrita consonância com o voto proferido pelo eminente Relator e  em comprimento ao artigo 37 do Regimento Interno Vigente, todos os membros da comissão de Finanças e Orçamento foram favoráveis ao presente parecer no projeto de Decreto Legislativo em análise.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>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 xml:space="preserve">Portanto, esta Comissão manifesta o Parecer </w:t>
      </w:r>
      <w:r>
        <w:rPr>
          <w:rFonts w:ascii="Bookman Old Style" w:hAnsi="Bookman Old Style" w:cstheme="minorHAnsi"/>
          <w:b/>
          <w:bCs/>
          <w:iCs/>
          <w:color w:val="000000"/>
          <w:sz w:val="24"/>
          <w:szCs w:val="24"/>
        </w:rPr>
        <w:t>FAVORÁVEL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ao presente Decreto legislativo.</w:t>
      </w: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Sala das Comissões, 26 de </w:t>
      </w:r>
      <w:r>
        <w:rPr>
          <w:rFonts w:ascii="Bookman Old Style" w:hAnsi="Bookman Old Style" w:cstheme="minorHAnsi"/>
          <w:b/>
          <w:iCs/>
          <w:sz w:val="24"/>
          <w:szCs w:val="24"/>
        </w:rPr>
        <w:t>maio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2025</w:t>
      </w: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Vereadora Mara Cristina Choquetta 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Marcio Dener Coran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 </w:t>
      </w: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Marcos Paulo Cegatti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 </w:t>
      </w: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p>
      <w:pPr>
        <w:jc w:val="center"/>
        <w:rPr>
          <w:rFonts w:ascii="Bookman Old Style" w:hAnsi="Bookman Old Style" w:cstheme="minorHAnsi"/>
          <w:bCs/>
          <w:iCs/>
          <w:sz w:val="32"/>
          <w:szCs w:val="32"/>
        </w:rPr>
      </w:pPr>
    </w:p>
    <w:p>
      <w:pPr>
        <w:jc w:val="center"/>
        <w:rPr>
          <w:rFonts w:ascii="Bookman Old Style" w:hAnsi="Bookman Old Style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36"/>
        <w:szCs w:val="36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3395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24"/>
        <w:szCs w:val="36"/>
      </w:rPr>
      <w:t xml:space="preserve">               </w:t>
    </w:r>
    <w:r>
      <w:rPr>
        <w:rFonts w:ascii="Bookman Old Style" w:hAnsi="Bookman Old Style"/>
        <w:b/>
        <w:sz w:val="24"/>
        <w:szCs w:val="36"/>
      </w:rPr>
      <w:t>Estado de São Paulo</w:t>
    </w:r>
    <w:r>
      <w:rPr>
        <w:rFonts w:ascii="Bookman Old Style" w:hAnsi="Bookman Old Style"/>
        <w:b/>
        <w:sz w:val="36"/>
        <w:szCs w:val="36"/>
      </w:rPr>
      <w:t xml:space="preserve">        </w:t>
    </w:r>
    <w:r>
      <w:rPr>
        <w:rFonts w:ascii="Bookman Old Style" w:hAnsi="Bookman Old Style"/>
        <w:b/>
        <w:sz w:val="40"/>
        <w:szCs w:val="40"/>
      </w:rPr>
      <w:t xml:space="preserve"> 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Comissão de Finanças e Orçamento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basedOn w:val="DefaultParagraphFont"/>
    <w:uiPriority w:val="99"/>
    <w:qFormat/>
    <w:rsid w:val="008649A4"/>
  </w:style>
  <w:style w:type="character" w:customStyle="1" w:styleId="RodapChar">
    <w:name w:val="Rodapé Char"/>
    <w:basedOn w:val="DefaultParagraphFont"/>
    <w:uiPriority w:val="99"/>
    <w:qFormat/>
    <w:rsid w:val="008649A4"/>
  </w:style>
  <w:style w:type="character" w:customStyle="1" w:styleId="CorpodetextoChar">
    <w:name w:val="Corpo de texto Char"/>
    <w:basedOn w:val="DefaultParagraphFont"/>
    <w:qFormat/>
    <w:rsid w:val="00FD6348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Header">
    <w:name w:val="Header"/>
    <w:basedOn w:val="Normal"/>
    <w:link w:val="CabealhoChar"/>
    <w:uiPriority w:val="99"/>
    <w:unhideWhenUsed/>
    <w:rsid w:val="008649A4"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8649A4"/>
    <w:pPr>
      <w:tabs>
        <w:tab w:val="clear" w:pos="708"/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640</Words>
  <Characters>3626</Characters>
  <Application>Microsoft Office Word</Application>
  <DocSecurity>0</DocSecurity>
  <Lines>0</Lines>
  <Paragraphs>35</Paragraphs>
  <ScaleCrop>false</ScaleCrop>
  <Company>Camara Municipal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4</cp:revision>
  <cp:lastPrinted>2023-03-23T11:27:00Z</cp:lastPrinted>
  <dcterms:created xsi:type="dcterms:W3CDTF">2025-02-18T13:49:00Z</dcterms:created>
  <dcterms:modified xsi:type="dcterms:W3CDTF">2025-05-27T16:12:16Z</dcterms:modified>
  <dc:language>pt-BR</dc:language>
</cp:coreProperties>
</file>