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20189E" w:rsidP="003D6D21" w14:paraId="4DE9CBF8" w14:textId="2C0BBEAB">
      <w:pPr>
        <w:pStyle w:val="NormalWeb"/>
        <w:spacing w:line="360" w:lineRule="auto"/>
      </w:pPr>
      <w:r w:rsidRPr="003D6D21">
        <w:tab/>
      </w:r>
      <w:r w:rsidRPr="0020189E" w:rsidR="00BE6938">
        <w:rPr>
          <w:rStyle w:val="Strong"/>
        </w:rPr>
        <w:t xml:space="preserve">PROJETO DE </w:t>
      </w:r>
      <w:r w:rsidR="000D4CD7">
        <w:rPr>
          <w:rStyle w:val="Strong"/>
        </w:rPr>
        <w:t>RESOLUÇÃO Nº 06</w:t>
      </w:r>
      <w:r w:rsidRPr="0020189E">
        <w:rPr>
          <w:rStyle w:val="Strong"/>
        </w:rPr>
        <w:t xml:space="preserve"> DE 2025</w:t>
      </w:r>
      <w:r w:rsidRPr="0020189E">
        <w:br/>
      </w:r>
      <w:r w:rsidR="000D4CD7">
        <w:rPr>
          <w:rStyle w:val="Emphasis"/>
        </w:rPr>
        <w:t>Acrescenta dispositivo à Resolução n° 276, de 09 de novembro de 2010 - Regimento Interno vigente</w:t>
      </w:r>
      <w:r w:rsidR="000C013F">
        <w:rPr>
          <w:rStyle w:val="Emphasis"/>
        </w:rPr>
        <w:t>.</w:t>
      </w:r>
    </w:p>
    <w:p w:rsidR="00F74441" w:rsidRPr="0020189E" w:rsidP="003D6D21" w14:paraId="1D42C3C2" w14:textId="7951DBAA">
      <w:pPr>
        <w:pStyle w:val="NormalWeb"/>
        <w:spacing w:line="360" w:lineRule="auto"/>
      </w:pPr>
      <w:r w:rsidRPr="0020189E">
        <w:rPr>
          <w:rStyle w:val="Strong"/>
        </w:rPr>
        <w:t>RELATOR: VEREADOR WAGNER RICARDO PEREIRA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A94A63" w:rsidP="003D6D21" w14:paraId="557FEED9" w14:textId="50A7E274">
      <w:pPr>
        <w:pStyle w:val="NormalWeb"/>
        <w:spacing w:line="360" w:lineRule="auto"/>
        <w:jc w:val="both"/>
        <w:rPr>
          <w:rStyle w:val="Emphasis"/>
          <w:i w:val="0"/>
        </w:rPr>
      </w:pPr>
      <w:r w:rsidRPr="0020189E">
        <w:tab/>
      </w:r>
      <w:r w:rsidRPr="0020189E" w:rsidR="00BE6938">
        <w:t xml:space="preserve">O Projeto de </w:t>
      </w:r>
      <w:r w:rsidR="000D4CD7">
        <w:t>Resolução nº 06</w:t>
      </w:r>
      <w:r w:rsidRPr="0020189E" w:rsidR="0020189E">
        <w:t xml:space="preserve"> </w:t>
      </w:r>
      <w:r w:rsidRPr="0020189E" w:rsidR="00CF79BF">
        <w:t>de 2</w:t>
      </w:r>
      <w:r w:rsidR="000D4CD7">
        <w:t>025, de autoria da</w:t>
      </w:r>
      <w:r w:rsidR="000C013F">
        <w:t xml:space="preserve"> vereador</w:t>
      </w:r>
      <w:r w:rsidR="000D4CD7">
        <w:t xml:space="preserve">a Mara Cristina </w:t>
      </w:r>
      <w:r w:rsidR="000D4CD7">
        <w:t>Choquetta</w:t>
      </w:r>
      <w:r w:rsidR="000C013F">
        <w:t xml:space="preserve">, </w:t>
      </w:r>
      <w:r w:rsidRPr="0020189E" w:rsidR="00905B55">
        <w:t xml:space="preserve">tem por objetivo </w:t>
      </w:r>
      <w:r w:rsidR="000D4CD7">
        <w:t>acrescentar</w:t>
      </w:r>
      <w:r w:rsidR="00943AAE">
        <w:t xml:space="preserve"> o parágrafo único ao artigo 37 </w:t>
      </w:r>
      <w:r w:rsidRPr="0020189E" w:rsidR="0020189E">
        <w:t xml:space="preserve">do Regimento Interno da </w:t>
      </w:r>
      <w:r w:rsidRPr="0020189E" w:rsidR="00CF79BF">
        <w:rPr>
          <w:rStyle w:val="Emphasis"/>
          <w:i w:val="0"/>
        </w:rPr>
        <w:t>Câmara Municipal de Mogi Mirim</w:t>
      </w:r>
      <w:r w:rsidR="000C013F">
        <w:rPr>
          <w:rStyle w:val="Emphasis"/>
          <w:i w:val="0"/>
        </w:rPr>
        <w:t>.</w:t>
      </w:r>
    </w:p>
    <w:p w:rsidR="00943AAE" w:rsidP="00FD7E42" w14:paraId="5B7A3603" w14:textId="1307187B">
      <w:pPr>
        <w:pStyle w:val="NormalWeb"/>
        <w:spacing w:line="360" w:lineRule="auto"/>
        <w:ind w:firstLine="720"/>
        <w:jc w:val="both"/>
        <w:rPr>
          <w:rStyle w:val="Emphasis"/>
          <w:i w:val="0"/>
        </w:rPr>
      </w:pPr>
      <w:r>
        <w:rPr>
          <w:rStyle w:val="Emphasis"/>
          <w:i w:val="0"/>
        </w:rPr>
        <w:t>O artigo 37 dispõe sobre a Comissão Permanente de Finanças e Orçamento e sua competência obrigatória de emi</w:t>
      </w:r>
      <w:r w:rsidR="005305E4">
        <w:rPr>
          <w:rStyle w:val="Emphasis"/>
          <w:i w:val="0"/>
        </w:rPr>
        <w:t xml:space="preserve">tir parecer </w:t>
      </w:r>
      <w:r>
        <w:rPr>
          <w:rStyle w:val="Emphasis"/>
          <w:i w:val="0"/>
        </w:rPr>
        <w:t>sobre todos os assuntos de caráter financeiro e orçamentário</w:t>
      </w:r>
      <w:r w:rsidR="005305E4">
        <w:rPr>
          <w:rStyle w:val="Emphasis"/>
          <w:i w:val="0"/>
        </w:rPr>
        <w:t>. Em seus incisos estabelece os assuntos principais pelos quais tem que emitir parecer.</w:t>
      </w:r>
    </w:p>
    <w:p w:rsidR="00FD7E42" w:rsidP="00FD7E42" w14:paraId="29ADA091" w14:textId="4904045F">
      <w:pPr>
        <w:pStyle w:val="NormalWeb"/>
        <w:spacing w:line="360" w:lineRule="auto"/>
        <w:ind w:firstLine="720"/>
        <w:jc w:val="both"/>
      </w:pPr>
      <w:r>
        <w:t>Em justificativa apresentada, s</w:t>
      </w:r>
      <w:r>
        <w:t xml:space="preserve">alienta que </w:t>
      </w:r>
      <w:r>
        <w:t>com o presente Projeto de Resolução, busca-se ampliar a atuação da Comissão de Finanças e Orçamento, atendendo uma recomendação persistente dos relatórios periódicos do Tribunal de Contas do Estado de São Paulo.</w:t>
      </w:r>
    </w:p>
    <w:p w:rsidR="00797A8A" w:rsidRPr="0020189E" w:rsidP="00FD7E42" w14:paraId="4640F838" w14:textId="0B481531">
      <w:pPr>
        <w:pStyle w:val="NormalWeb"/>
        <w:spacing w:line="360" w:lineRule="auto"/>
        <w:ind w:firstLine="720"/>
        <w:jc w:val="both"/>
        <w:rPr>
          <w:iCs/>
        </w:rPr>
      </w:pPr>
      <w:r>
        <w:t>Por fim, a</w:t>
      </w:r>
      <w:r>
        <w:t xml:space="preserve">crescenta que </w:t>
      </w:r>
      <w:r w:rsidR="005305E4">
        <w:t>a inclusão de tal atribuição, de forma expressa no Regimento Interno, tem como finalidade regularizar a situação e proporcionar legitimidade aos trabalhos da Comissão de Finanças e Orçamento.</w:t>
      </w:r>
    </w:p>
    <w:p w:rsidR="00481751" w:rsidRPr="0020189E" w:rsidP="004478CC" w14:paraId="5AD32F20" w14:textId="7DDF1CB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  <w:t>a) Legalidade e Constitucionalidade</w:t>
      </w:r>
    </w:p>
    <w:p w:rsidR="0020189E" w:rsidP="003D6D21" w14:paraId="4A9D887B" w14:textId="6DE985D6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Pr="0020189E" w:rsidR="00B94161">
        <w:t>Resolução</w:t>
      </w:r>
      <w:r w:rsidRPr="0020189E" w:rsidR="00B84D31">
        <w:t xml:space="preserve"> </w:t>
      </w:r>
      <w:r w:rsidR="005A762C">
        <w:t>nº 06</w:t>
      </w:r>
      <w:r w:rsidRPr="0020189E" w:rsidR="003B1A59">
        <w:t xml:space="preserve"> de 2025 está em conformidade com os princípios constitucionais e legai</w:t>
      </w:r>
      <w:r w:rsidRPr="0020189E" w:rsidR="005B27A9">
        <w:t xml:space="preserve">s, não apresentando vícios de constitucionalidade ou </w:t>
      </w:r>
      <w:r w:rsidRPr="0020189E" w:rsidR="00774103">
        <w:t>legalidade.</w:t>
      </w:r>
    </w:p>
    <w:p w:rsidR="00287A6E" w:rsidRPr="0020189E" w:rsidP="00287A6E" w14:paraId="424430D1" w14:textId="77777777">
      <w:pPr>
        <w:pStyle w:val="NormalWeb"/>
        <w:spacing w:line="360" w:lineRule="auto"/>
        <w:ind w:firstLine="720"/>
        <w:jc w:val="both"/>
      </w:pPr>
      <w:r w:rsidRPr="0020189E">
        <w:t>De acordo com o artigo 145 do Regimento Interno, projeto de Resolução é a proposição destinada a regular assuntos de interesse interno da Câmara, de natureza político-administrativa e versará sobre a sua Secretaria administrativa, a Mesa e os vereadores, não sujeita à sanção do Prefeito, sendo promulgada pelo Presidente da Câmara, após aprovação pela maioria absoluta, em turno único de votação.</w:t>
      </w:r>
    </w:p>
    <w:p w:rsidR="00287A6E" w:rsidRPr="0020189E" w:rsidP="00287A6E" w14:paraId="4D119818" w14:textId="77777777">
      <w:pPr>
        <w:pStyle w:val="NormalWeb"/>
        <w:spacing w:line="360" w:lineRule="auto"/>
        <w:ind w:firstLine="720"/>
        <w:jc w:val="both"/>
      </w:pPr>
      <w:r w:rsidRPr="0020189E">
        <w:t>Ainda, a elaboração, reforma total e alteração de dispositivo do Regimento Interno é matéria de Projeto de Resolução, conforme o disposto no inciso I do §1° do artigo 145 do Regimento Interno.</w:t>
      </w:r>
    </w:p>
    <w:p w:rsidR="00287A6E" w:rsidP="00287A6E" w14:paraId="3704A636" w14:textId="77777777">
      <w:pPr>
        <w:pStyle w:val="NormalWeb"/>
        <w:spacing w:line="360" w:lineRule="auto"/>
        <w:ind w:firstLine="720"/>
        <w:jc w:val="both"/>
      </w:pPr>
      <w:r w:rsidRPr="004478CC">
        <w:t>Logo, o Projeto de Resolução é a proposição adequada para alterar dispositivos do Regimento Interno em vigor.</w:t>
      </w:r>
    </w:p>
    <w:p w:rsidR="00287A6E" w:rsidP="00287A6E" w14:paraId="4869491F" w14:textId="77777777">
      <w:pPr>
        <w:pStyle w:val="NormalWeb"/>
        <w:spacing w:line="360" w:lineRule="auto"/>
        <w:ind w:firstLine="720"/>
        <w:jc w:val="both"/>
      </w:pPr>
      <w:r w:rsidRPr="00797A8A">
        <w:t xml:space="preserve">Ademais, dentre outras atribuições e competências, </w:t>
      </w:r>
      <w:r>
        <w:t>qualquer Vereador</w:t>
      </w:r>
      <w:r w:rsidRPr="00797A8A">
        <w:t xml:space="preserve"> possui competência para propor Projeto de Resolução que visa alterar artigos do Regimento Interno </w:t>
      </w:r>
      <w:r>
        <w:t>com o fim de beneficiar os trabalhos legislativos.</w:t>
      </w:r>
    </w:p>
    <w:p w:rsidR="00287A6E" w:rsidP="00287A6E" w14:paraId="0A270C7F" w14:textId="502A876D">
      <w:pPr>
        <w:pStyle w:val="NormalWeb"/>
        <w:spacing w:line="360" w:lineRule="auto"/>
        <w:ind w:firstLine="720"/>
        <w:jc w:val="both"/>
      </w:pPr>
      <w:r w:rsidRPr="004478CC">
        <w:t xml:space="preserve">A regulamentação </w:t>
      </w:r>
      <w:r>
        <w:t>do assunto que se refere as competências da Comissão Permanente de Finanças e Orçamento</w:t>
      </w:r>
      <w:r w:rsidRPr="004478CC">
        <w:t xml:space="preserve"> constitui matéria de orga</w:t>
      </w:r>
      <w:r w:rsidR="00EB5DB7">
        <w:t>nização interna do Legislativo M</w:t>
      </w:r>
      <w:bookmarkStart w:id="0" w:name="_GoBack"/>
      <w:bookmarkEnd w:id="0"/>
      <w:r w:rsidRPr="004478CC">
        <w:t>unicipal, conforme previsto no artigo 2º, § 1º, da Resolução nº 276/2010 (Regimento Interno), que define a função legislativa da Câmara</w:t>
      </w:r>
      <w:r>
        <w:t>.</w:t>
      </w:r>
    </w:p>
    <w:p w:rsidR="00133E70" w:rsidP="00133E70" w14:paraId="31788426" w14:textId="55DE3E41">
      <w:pPr>
        <w:pStyle w:val="NormalWeb"/>
        <w:spacing w:line="360" w:lineRule="auto"/>
        <w:ind w:firstLine="720"/>
        <w:jc w:val="both"/>
      </w:pPr>
      <w:r>
        <w:t>O Capítulo II do Regimento Interno trata especificamente das Comissões Permanentes. O artigo 33 menciona o objetivo das Comissões Permanentes, sua composição e tempo de duração.</w:t>
      </w:r>
    </w:p>
    <w:p w:rsidR="00133E70" w:rsidP="00133E70" w14:paraId="77726609" w14:textId="216C7687">
      <w:pPr>
        <w:pStyle w:val="NormalWeb"/>
        <w:spacing w:line="360" w:lineRule="auto"/>
        <w:ind w:firstLine="720"/>
        <w:jc w:val="both"/>
      </w:pPr>
      <w:r>
        <w:t xml:space="preserve">A Comissão de Finanças e Orçamento tem previsão expressa no artigo 34, inciso II. Em complemento, o artigo 37 dispõe sobre sua competência obrigatória de emitir parecer sobre todos os assuntos de caráter financeiro e orçamentário, </w:t>
      </w:r>
      <w:r w:rsidRPr="00133E70">
        <w:rPr>
          <w:i/>
        </w:rPr>
        <w:t xml:space="preserve">in </w:t>
      </w:r>
      <w:r w:rsidRPr="00133E70">
        <w:rPr>
          <w:i/>
        </w:rPr>
        <w:t>verbis</w:t>
      </w:r>
      <w:r>
        <w:t xml:space="preserve">: </w:t>
      </w:r>
    </w:p>
    <w:p w:rsidR="00133E70" w:rsidP="00133E70" w14:paraId="590BD06A" w14:textId="77777777">
      <w:pPr>
        <w:pStyle w:val="NormalWeb"/>
        <w:spacing w:line="360" w:lineRule="auto"/>
        <w:ind w:firstLine="720"/>
        <w:jc w:val="both"/>
      </w:pPr>
    </w:p>
    <w:p w:rsidR="00133E70" w:rsidRPr="00133E70" w:rsidP="00133E70" w14:paraId="139679D7" w14:textId="4237E39D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>Art. 37. Compete à Comissão de Finanças e Orçamento, obrigatoriamente, emitir parecer sobre todos os assuntos de caráter financeiro e</w:t>
      </w:r>
      <w:r>
        <w:rPr>
          <w:i/>
          <w:sz w:val="22"/>
          <w:szCs w:val="22"/>
        </w:rPr>
        <w:t xml:space="preserve"> </w:t>
      </w:r>
      <w:r w:rsidRPr="00133E70">
        <w:rPr>
          <w:i/>
          <w:sz w:val="22"/>
          <w:szCs w:val="22"/>
        </w:rPr>
        <w:t>orçamentário, em especial sobre:</w:t>
      </w:r>
    </w:p>
    <w:p w:rsidR="00133E70" w:rsidRPr="00133E70" w:rsidP="00133E70" w14:paraId="0ECCE0CF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 xml:space="preserve">I - </w:t>
      </w:r>
      <w:r w:rsidRPr="00133E70">
        <w:rPr>
          <w:i/>
          <w:sz w:val="22"/>
          <w:szCs w:val="22"/>
        </w:rPr>
        <w:t>orçamento</w:t>
      </w:r>
      <w:r w:rsidRPr="00133E70">
        <w:rPr>
          <w:i/>
          <w:sz w:val="22"/>
          <w:szCs w:val="22"/>
        </w:rPr>
        <w:t xml:space="preserve"> anual, lei de diretrizes orçamentárias e plano plurianual;</w:t>
      </w:r>
    </w:p>
    <w:p w:rsidR="00133E70" w:rsidRPr="00133E70" w:rsidP="00133E70" w14:paraId="64D92569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 xml:space="preserve">II - </w:t>
      </w:r>
      <w:r w:rsidRPr="00133E70">
        <w:rPr>
          <w:i/>
          <w:sz w:val="22"/>
          <w:szCs w:val="22"/>
        </w:rPr>
        <w:t>prestação</w:t>
      </w:r>
      <w:r w:rsidRPr="00133E70">
        <w:rPr>
          <w:i/>
          <w:sz w:val="22"/>
          <w:szCs w:val="22"/>
        </w:rPr>
        <w:t xml:space="preserve"> de contas do Prefeito, mediante parecer do Tribunal de Contas do Estado, através de projeto de decreto legislativo;</w:t>
      </w:r>
    </w:p>
    <w:p w:rsidR="00133E70" w:rsidRPr="00133E70" w:rsidP="00133E70" w14:paraId="5055F71E" w14:textId="44EEC679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>III - proposições referentes à matéria tributária, abertura de créditos suplementares e especiais, empréstim</w:t>
      </w:r>
      <w:r>
        <w:rPr>
          <w:i/>
          <w:sz w:val="22"/>
          <w:szCs w:val="22"/>
        </w:rPr>
        <w:t xml:space="preserve">os públicos e as que, direta ou </w:t>
      </w:r>
      <w:r w:rsidRPr="00133E70">
        <w:rPr>
          <w:i/>
          <w:sz w:val="22"/>
          <w:szCs w:val="22"/>
        </w:rPr>
        <w:t>indiretamente, alterem a despesa e/ou a receita do Município, acarretem responsabilidade ao erário municipal ou interessem ao crédito público;</w:t>
      </w:r>
    </w:p>
    <w:p w:rsidR="00133E70" w:rsidRPr="00133E70" w:rsidP="00133E70" w14:paraId="0CF62187" w14:textId="77777777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 xml:space="preserve">IV - </w:t>
      </w:r>
      <w:r w:rsidRPr="00133E70">
        <w:rPr>
          <w:i/>
          <w:sz w:val="22"/>
          <w:szCs w:val="22"/>
        </w:rPr>
        <w:t>proposições</w:t>
      </w:r>
      <w:r w:rsidRPr="00133E70">
        <w:rPr>
          <w:i/>
          <w:sz w:val="22"/>
          <w:szCs w:val="22"/>
        </w:rPr>
        <w:t xml:space="preserve"> que fixem os vencimentos do funcionalismo, os subsídios do Prefeito, Vice-Prefeito e dos Vereadores;</w:t>
      </w:r>
    </w:p>
    <w:p w:rsidR="00133E70" w:rsidRPr="00133E70" w:rsidP="00133E70" w14:paraId="35475544" w14:textId="5970F389">
      <w:pPr>
        <w:pStyle w:val="NormalWeb"/>
        <w:ind w:left="2268"/>
        <w:jc w:val="both"/>
        <w:rPr>
          <w:i/>
          <w:sz w:val="22"/>
          <w:szCs w:val="22"/>
        </w:rPr>
      </w:pPr>
      <w:r w:rsidRPr="00133E70">
        <w:rPr>
          <w:i/>
          <w:sz w:val="22"/>
          <w:szCs w:val="22"/>
        </w:rPr>
        <w:t xml:space="preserve">V - </w:t>
      </w:r>
      <w:r w:rsidRPr="00133E70">
        <w:rPr>
          <w:i/>
          <w:sz w:val="22"/>
          <w:szCs w:val="22"/>
        </w:rPr>
        <w:t>as</w:t>
      </w:r>
      <w:r w:rsidRPr="00133E70">
        <w:rPr>
          <w:i/>
          <w:sz w:val="22"/>
          <w:szCs w:val="22"/>
        </w:rPr>
        <w:t xml:space="preserve"> que, direta ou indiretamente, representem mutação patrimonial do Município.</w:t>
      </w:r>
    </w:p>
    <w:p w:rsidR="00133E70" w:rsidP="00133E70" w14:paraId="5D3BB126" w14:textId="77777777">
      <w:pPr>
        <w:pStyle w:val="NormalWeb"/>
        <w:spacing w:line="360" w:lineRule="auto"/>
        <w:ind w:firstLine="720"/>
        <w:jc w:val="both"/>
      </w:pPr>
    </w:p>
    <w:p w:rsidR="00133E70" w:rsidP="00133E70" w14:paraId="2D72D600" w14:textId="37759EBC">
      <w:pPr>
        <w:pStyle w:val="NormalWeb"/>
        <w:spacing w:line="360" w:lineRule="auto"/>
        <w:ind w:firstLine="720"/>
        <w:jc w:val="both"/>
      </w:pPr>
      <w:r>
        <w:t xml:space="preserve">Com o acréscimo do parágrafo único ao artigo acima transcrito, passará a constar de forma expressa no Regimento Interno a competência da Comissão Permanente de Finanças e Orçamento </w:t>
      </w:r>
      <w:r w:rsidR="009A051D">
        <w:t>de</w:t>
      </w:r>
      <w:r>
        <w:t xml:space="preserve"> acompanhar a execução orçamentária e das políticas públicas do Poder Executivo.</w:t>
      </w:r>
    </w:p>
    <w:p w:rsidR="00133E70" w:rsidRPr="004478CC" w:rsidP="00CC019F" w14:paraId="08EAC447" w14:textId="3429C503">
      <w:pPr>
        <w:pStyle w:val="NormalWeb"/>
        <w:spacing w:line="360" w:lineRule="auto"/>
        <w:ind w:firstLine="720"/>
        <w:jc w:val="both"/>
      </w:pPr>
      <w:r>
        <w:t>Tal modificação se faz necessária, pois o Tribunal de Contas do Estado de São Paulo já vem recomendando de forma persistente em seus relatórios periódicos essa disposição para que as Câmaras Municipais tenham dispositivos de acompanhamento e avaliação da execução do orçamento municipal.</w:t>
      </w:r>
    </w:p>
    <w:p w:rsidR="00287A6E" w:rsidRPr="004478CC" w:rsidP="00287A6E" w14:paraId="17171CA3" w14:textId="77777777">
      <w:pPr>
        <w:pStyle w:val="NormalWeb"/>
        <w:spacing w:line="360" w:lineRule="auto"/>
        <w:jc w:val="both"/>
      </w:pPr>
      <w:r w:rsidRPr="004478CC">
        <w:tab/>
        <w:t xml:space="preserve">O </w:t>
      </w:r>
      <w:r>
        <w:t>parecer da Mesa Diretora</w:t>
      </w:r>
      <w:r w:rsidRPr="004478CC">
        <w:t xml:space="preserve"> formaliza a aprovação inicial do projeto, atendendo ao inciso XV do artigo 9º do Regimento Interno, que atribui à Mesa a deliberação sobre proposições antes de sua tramitação.</w:t>
      </w:r>
    </w:p>
    <w:p w:rsidR="00287A6E" w:rsidP="003D6D21" w14:paraId="604E98AE" w14:textId="0EF5B6D2">
      <w:pPr>
        <w:pStyle w:val="NormalWeb"/>
        <w:spacing w:line="360" w:lineRule="auto"/>
        <w:jc w:val="both"/>
      </w:pPr>
      <w:r>
        <w:tab/>
        <w:t>Por fim, cumpre mencionar que n</w:t>
      </w:r>
      <w:r w:rsidRPr="004478CC">
        <w:t>ão há invasão de competências da Un</w:t>
      </w:r>
      <w:r>
        <w:t>ião, do Estado ou do Executivo M</w:t>
      </w:r>
      <w:r w:rsidRPr="004478CC">
        <w:t xml:space="preserve">unicipal, pois a proposta regula apenas o funcionamento interno da Câmara, sem impor obrigações a outros poderes ou entes federativos. O Supremo Tribunal Federal, na Ação Direta de Inconstitucionalidade nº 2.356/DF, reconhece que os regimentos internos das </w:t>
      </w:r>
      <w:r w:rsidRPr="004478CC">
        <w:t>Casas Legislativas são instrumentos de auto-organização, desde que respeitem normas superiores, o que é observado neste caso.</w:t>
      </w: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2C0F17" w:rsidP="00D5356C" w14:paraId="76057A6B" w14:textId="7FB11AC9">
      <w:pPr>
        <w:pStyle w:val="NormalWeb"/>
        <w:spacing w:line="360" w:lineRule="auto"/>
        <w:jc w:val="both"/>
      </w:pPr>
      <w:r w:rsidRPr="0020189E">
        <w:tab/>
      </w:r>
      <w:r w:rsidRPr="0020189E" w:rsidR="00520E4C">
        <w:t>Em linhas gerais, a</w:t>
      </w:r>
      <w:r w:rsidRPr="0020189E" w:rsidR="003B1A59">
        <w:t xml:space="preserve"> proposta</w:t>
      </w:r>
      <w:r w:rsidRPr="0020189E" w:rsidR="00D5356C">
        <w:t xml:space="preserve"> </w:t>
      </w:r>
      <w:r w:rsidRPr="0020189E" w:rsidR="00520E4C">
        <w:t xml:space="preserve">busca </w:t>
      </w:r>
      <w:r w:rsidR="00CC019F">
        <w:t>acrescentar o parágrafo único ao artigo 37</w:t>
      </w:r>
      <w:r>
        <w:t xml:space="preserve"> do Regimento Interno.</w:t>
      </w:r>
    </w:p>
    <w:p w:rsidR="00CC019F" w:rsidP="00CC019F" w14:paraId="36551CF3" w14:textId="7FDE0121">
      <w:pPr>
        <w:pStyle w:val="NormalWeb"/>
        <w:spacing w:line="360" w:lineRule="auto"/>
        <w:ind w:firstLine="720"/>
        <w:jc w:val="both"/>
      </w:pPr>
      <w:r>
        <w:t xml:space="preserve">O parágrafo único que será acrescentado prevê que </w:t>
      </w:r>
      <w:r w:rsidR="007B49B7">
        <w:t>compete também à Comissão Permanente de Finanças e Orçamento acompanhar a execução orçamentária e das políticas públicas do Poder Executivo.</w:t>
      </w:r>
    </w:p>
    <w:p w:rsidR="00CC019F" w:rsidRPr="004478CC" w:rsidP="00CC019F" w14:paraId="43A70080" w14:textId="2147F50E">
      <w:pPr>
        <w:pStyle w:val="NormalWeb"/>
        <w:spacing w:line="360" w:lineRule="auto"/>
        <w:ind w:firstLine="720"/>
        <w:jc w:val="both"/>
      </w:pPr>
      <w:r>
        <w:t xml:space="preserve">Conforme mencionado na justificativa do projeto, </w:t>
      </w:r>
      <w:r>
        <w:t>tal modificação se faz necessária, pois o Tribunal de Contas do Estado de São Paulo já vem recomendando de forma persistente em seus relatórios periódicos essa disposição para que as Câmaras Municipais tenham dispositivos de acompanhamento e avaliação da execução do orçamento municipal.</w:t>
      </w:r>
    </w:p>
    <w:p w:rsidR="00222E12" w:rsidP="00B260AA" w14:paraId="1D1A721B" w14:textId="2C9DA1CE">
      <w:pPr>
        <w:pStyle w:val="NormalWeb"/>
        <w:spacing w:line="360" w:lineRule="auto"/>
        <w:ind w:firstLine="720"/>
        <w:jc w:val="both"/>
      </w:pPr>
      <w:r w:rsidRPr="00B260AA">
        <w:t xml:space="preserve">Por fim, conforme destacado, </w:t>
      </w:r>
      <w:r w:rsidR="00DF5D1F">
        <w:t xml:space="preserve">as mudanças propostas são fundamentais para o pleno desenvolvimento </w:t>
      </w:r>
      <w:r w:rsidR="00CC019F">
        <w:t>dos trabalhos da Comissão Permanente de Finanças e Orçamento</w:t>
      </w:r>
      <w:r w:rsidR="00DF5D1F">
        <w:t>.</w:t>
      </w:r>
    </w:p>
    <w:p w:rsidR="002A3670" w:rsidP="00520E4C" w14:paraId="27BF6BCD" w14:textId="62266F9C">
      <w:pPr>
        <w:pStyle w:val="NormalWeb"/>
        <w:spacing w:line="360" w:lineRule="auto"/>
        <w:ind w:firstLine="720"/>
        <w:jc w:val="both"/>
      </w:pPr>
      <w:r w:rsidRPr="0020189E">
        <w:t xml:space="preserve">Portanto, a proposta é oportuna e conveniente, </w:t>
      </w:r>
      <w:r w:rsidRPr="0020189E" w:rsidR="00520E4C">
        <w:t xml:space="preserve">pois versa sobre </w:t>
      </w:r>
      <w:r w:rsidR="00855482">
        <w:t xml:space="preserve">alteração no Regimento Interno </w:t>
      </w:r>
      <w:r w:rsidR="00CC019F">
        <w:t>para proporcionar legitimidade aos trabalhos da Comissão Permanente de Finanças e Orçamento</w:t>
      </w:r>
      <w:r w:rsidR="00DF5D1F">
        <w:t>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20189E" w:rsidP="00E452E2" w14:paraId="703133F1" w14:textId="542ADD37">
      <w:pPr>
        <w:pStyle w:val="NormalWeb"/>
        <w:spacing w:line="360" w:lineRule="auto"/>
        <w:jc w:val="both"/>
      </w:pPr>
      <w:r w:rsidRPr="0020189E">
        <w:tab/>
      </w:r>
      <w:r w:rsidRPr="005914C0" w:rsidR="00855482">
        <w:t>Após análise detalhada do projeto o relator </w:t>
      </w:r>
      <w:r w:rsidRPr="005914C0" w:rsidR="00855482">
        <w:rPr>
          <w:rStyle w:val="Strong"/>
        </w:rPr>
        <w:t>não propõe emendas</w:t>
      </w:r>
      <w:r w:rsidRPr="005914C0" w:rsidR="00855482">
        <w:t> ao texto do projeto. A decisão de não propor emendas baseia-se no entendimento de que o projeto, em sua forma atual, já cumpre com seus objetivos.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 w14:paraId="2AF20253" w14:textId="1ACC6475">
      <w:pPr>
        <w:pStyle w:val="NormalWeb"/>
        <w:spacing w:line="360" w:lineRule="auto"/>
        <w:jc w:val="both"/>
      </w:pPr>
      <w:r w:rsidRPr="0020189E">
        <w:tab/>
        <w:t>A Comissão de Justiça e Redação, por unanimidade, </w:t>
      </w:r>
      <w:r w:rsidRPr="0020189E">
        <w:rPr>
          <w:rStyle w:val="Strong"/>
        </w:rPr>
        <w:t>aprova</w:t>
      </w:r>
      <w:r w:rsidRPr="0020189E">
        <w:t> o Pro</w:t>
      </w:r>
      <w:r w:rsidR="00CC019F">
        <w:t>jeto de Resolução nº 06</w:t>
      </w:r>
      <w:r w:rsidRPr="0020189E">
        <w:t xml:space="preserve"> de 2025, </w:t>
      </w:r>
      <w:r w:rsidR="00855482">
        <w:rPr>
          <w:rStyle w:val="Strong"/>
        </w:rPr>
        <w:t>sem</w:t>
      </w:r>
      <w:r w:rsidRPr="0020189E" w:rsidR="003D6D21">
        <w:rPr>
          <w:rStyle w:val="Strong"/>
        </w:rPr>
        <w:t xml:space="preserve"> emendas</w:t>
      </w:r>
      <w:r w:rsidRPr="0020189E">
        <w:t>, considerando-o </w:t>
      </w:r>
      <w:r w:rsidRPr="0020189E" w:rsidR="00D06691">
        <w:rPr>
          <w:rStyle w:val="Strong"/>
        </w:rPr>
        <w:t>legal,</w:t>
      </w:r>
      <w:r w:rsidRPr="0020189E" w:rsidR="00F6103C">
        <w:rPr>
          <w:rStyle w:val="Strong"/>
        </w:rPr>
        <w:t xml:space="preserve"> constitucional e </w:t>
      </w:r>
      <w:r w:rsidRPr="0020189E">
        <w:rPr>
          <w:rStyle w:val="Strong"/>
        </w:rPr>
        <w:t>conveniente</w:t>
      </w:r>
      <w:r w:rsidRPr="0020189E">
        <w:t>.</w:t>
      </w:r>
    </w:p>
    <w:p w:rsidR="00C15829" w:rsidRPr="0020189E" w:rsidP="00E973AD" w14:paraId="445EDC93" w14:textId="06A07CF0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Manoel Eduardo Pereira da Cruz Palomino (Vice-Presidente)</w:t>
      </w:r>
    </w:p>
    <w:p w:rsidR="00346786" w:rsidRPr="0020189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João V</w:t>
      </w:r>
      <w:r w:rsidRPr="0020189E" w:rsidR="00E973AD">
        <w:t>ictor Gasparini (Membro</w:t>
      </w:r>
      <w:r w:rsidRPr="0020189E">
        <w:t>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0189E" w:rsidP="003D6D21" w14:paraId="6AB168D8" w14:textId="2AF80461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CC019F">
        <w:rPr>
          <w:rStyle w:val="Strong"/>
        </w:rPr>
        <w:t xml:space="preserve"> 29 de maio</w:t>
      </w:r>
      <w:r w:rsidRPr="0020189E">
        <w:rPr>
          <w:rStyle w:val="Strong"/>
        </w:rPr>
        <w:t xml:space="preserve"> de 2025.</w:t>
      </w:r>
    </w:p>
    <w:p w:rsidR="003D6D21" w:rsidRPr="0020189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0189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0189E">
        <w:rPr>
          <w:sz w:val="24"/>
          <w:szCs w:val="24"/>
        </w:rPr>
        <w:t>Relator</w:t>
      </w:r>
    </w:p>
    <w:p w:rsidR="003D6D21" w:rsidRPr="0020189E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20189E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2D26F8" w:rsidRPr="000D3DC9" w:rsidP="002D26F8" w14:paraId="3252DE52" w14:textId="56F11C9F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Parecer</w:t>
      </w:r>
      <w:r w:rsidRPr="000D3DC9">
        <w:rPr>
          <w:rFonts w:ascii="Times New Roman" w:hAnsi="Times New Roman" w:cs="Times New Roman"/>
          <w:sz w:val="24"/>
          <w:szCs w:val="24"/>
        </w:rPr>
        <w:t xml:space="preserve"> da Mesa Diretora ao Projeto de Resolução nº 0</w:t>
      </w:r>
      <w:r w:rsidR="00CC019F">
        <w:rPr>
          <w:rFonts w:ascii="Times New Roman" w:hAnsi="Times New Roman" w:cs="Times New Roman"/>
          <w:sz w:val="24"/>
          <w:szCs w:val="24"/>
        </w:rPr>
        <w:t>6</w:t>
      </w:r>
      <w:r w:rsidRPr="000D3DC9">
        <w:rPr>
          <w:rFonts w:ascii="Times New Roman" w:hAnsi="Times New Roman" w:cs="Times New Roman"/>
          <w:sz w:val="24"/>
          <w:szCs w:val="24"/>
        </w:rPr>
        <w:t>/2025, que formaliza aprovação inicial nos termos do inciso XV do artigo 9º da Resolução nº 276/2010.</w:t>
      </w:r>
    </w:p>
    <w:p w:rsidR="002D26F8" w:rsidRPr="000D3DC9" w:rsidP="002D26F8" w14:paraId="45145E9D" w14:textId="7777777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Ação Direta de Inconstitucionalidade nº 2.356/DF, do Supremo Tribunal Federal, que reconhece a competência das Casas Legislativas para editar regimentos internos.</w:t>
      </w:r>
    </w:p>
    <w:p w:rsidR="00855482" w:rsidRPr="002D26F8" w:rsidP="00E973AD" w14:paraId="1B72F89C" w14:textId="192F117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0D3DC9">
        <w:rPr>
          <w:rFonts w:ascii="Times New Roman" w:hAnsi="Times New Roman" w:cs="Times New Roman"/>
          <w:sz w:val="24"/>
          <w:szCs w:val="24"/>
        </w:rPr>
        <w:t>Recurso Extraordinário com Agravo (ARE) nº 878.911/RG, do Supremo Tribunal Federal, que admite normas de organização interna sem imposição a outros poderes, com repercussão geral.</w:t>
      </w: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511FFFD2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CC019F">
        <w:rPr>
          <w:rFonts w:ascii="Palatino Linotype" w:hAnsi="Palatino Linotype" w:cs="Arial"/>
          <w:b/>
          <w:sz w:val="24"/>
          <w:szCs w:val="24"/>
        </w:rPr>
        <w:t>ÃO AO PROJETO DE RESOLUÇÃO N° 06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CC019F">
        <w:rPr>
          <w:rFonts w:ascii="Palatino Linotype" w:hAnsi="Palatino Linotype" w:cs="Arial"/>
          <w:b/>
          <w:sz w:val="24"/>
          <w:szCs w:val="24"/>
        </w:rPr>
        <w:t>DA VEREADORA MARA CRISTINA CHOQUETTA.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584361E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CC019F">
        <w:rPr>
          <w:rFonts w:ascii="Palatino Linotype" w:hAnsi="Palatino Linotype" w:cs="Arial"/>
          <w:sz w:val="24"/>
          <w:szCs w:val="24"/>
        </w:rPr>
        <w:t>Resolução n° 06</w:t>
      </w:r>
      <w:r w:rsidR="00EC62D5">
        <w:rPr>
          <w:rFonts w:ascii="Palatino Linotype" w:hAnsi="Palatino Linotype" w:cs="Arial"/>
          <w:sz w:val="24"/>
          <w:szCs w:val="24"/>
        </w:rPr>
        <w:t xml:space="preserve">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0189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5E4440AA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29 de maio</w:t>
      </w:r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0189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0189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</w:p>
    <w:p w:rsidR="00C15829" w:rsidRPr="0020189E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6A10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C013F"/>
    <w:rsid w:val="000D3DC9"/>
    <w:rsid w:val="000D4CD7"/>
    <w:rsid w:val="000F4933"/>
    <w:rsid w:val="00100825"/>
    <w:rsid w:val="00126AE5"/>
    <w:rsid w:val="00133E70"/>
    <w:rsid w:val="00136724"/>
    <w:rsid w:val="0015590E"/>
    <w:rsid w:val="00180AF1"/>
    <w:rsid w:val="00181506"/>
    <w:rsid w:val="00187FC6"/>
    <w:rsid w:val="00192536"/>
    <w:rsid w:val="001A3CE4"/>
    <w:rsid w:val="001B7303"/>
    <w:rsid w:val="0020165D"/>
    <w:rsid w:val="0020189E"/>
    <w:rsid w:val="00213987"/>
    <w:rsid w:val="0021665F"/>
    <w:rsid w:val="00222E12"/>
    <w:rsid w:val="0022774A"/>
    <w:rsid w:val="00227D10"/>
    <w:rsid w:val="00227E2C"/>
    <w:rsid w:val="00234376"/>
    <w:rsid w:val="00287A6E"/>
    <w:rsid w:val="00297379"/>
    <w:rsid w:val="00297994"/>
    <w:rsid w:val="002A2BD3"/>
    <w:rsid w:val="002A3670"/>
    <w:rsid w:val="002B57DE"/>
    <w:rsid w:val="002B71AC"/>
    <w:rsid w:val="002C0F17"/>
    <w:rsid w:val="002D26F8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B6FDF"/>
    <w:rsid w:val="004D46DA"/>
    <w:rsid w:val="004E6092"/>
    <w:rsid w:val="00520E4C"/>
    <w:rsid w:val="005242B1"/>
    <w:rsid w:val="005305E4"/>
    <w:rsid w:val="005559D9"/>
    <w:rsid w:val="0055728D"/>
    <w:rsid w:val="0057515A"/>
    <w:rsid w:val="005914C0"/>
    <w:rsid w:val="005A235E"/>
    <w:rsid w:val="005A762C"/>
    <w:rsid w:val="005B27A9"/>
    <w:rsid w:val="005B766F"/>
    <w:rsid w:val="005E491E"/>
    <w:rsid w:val="005F2654"/>
    <w:rsid w:val="005F4E55"/>
    <w:rsid w:val="005F54DA"/>
    <w:rsid w:val="00613747"/>
    <w:rsid w:val="00613BFA"/>
    <w:rsid w:val="00672758"/>
    <w:rsid w:val="006834FE"/>
    <w:rsid w:val="00687726"/>
    <w:rsid w:val="00697874"/>
    <w:rsid w:val="006A418A"/>
    <w:rsid w:val="006A54A9"/>
    <w:rsid w:val="007038AD"/>
    <w:rsid w:val="00713CA2"/>
    <w:rsid w:val="007556D8"/>
    <w:rsid w:val="00774103"/>
    <w:rsid w:val="0078178E"/>
    <w:rsid w:val="00784CD4"/>
    <w:rsid w:val="00785E1B"/>
    <w:rsid w:val="00797A8A"/>
    <w:rsid w:val="007A08D1"/>
    <w:rsid w:val="007B49B7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19D0"/>
    <w:rsid w:val="00925E1A"/>
    <w:rsid w:val="00943AAE"/>
    <w:rsid w:val="0098102A"/>
    <w:rsid w:val="009A051D"/>
    <w:rsid w:val="009D56B8"/>
    <w:rsid w:val="009D6B7C"/>
    <w:rsid w:val="00A00E3E"/>
    <w:rsid w:val="00A12DD9"/>
    <w:rsid w:val="00A164DC"/>
    <w:rsid w:val="00A27446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B260AA"/>
    <w:rsid w:val="00B57090"/>
    <w:rsid w:val="00B65D33"/>
    <w:rsid w:val="00B84D31"/>
    <w:rsid w:val="00B94161"/>
    <w:rsid w:val="00BA48C7"/>
    <w:rsid w:val="00BC5A92"/>
    <w:rsid w:val="00BD1985"/>
    <w:rsid w:val="00BE41D6"/>
    <w:rsid w:val="00BE6938"/>
    <w:rsid w:val="00BF2A6F"/>
    <w:rsid w:val="00BF705E"/>
    <w:rsid w:val="00C10154"/>
    <w:rsid w:val="00C15829"/>
    <w:rsid w:val="00C1763D"/>
    <w:rsid w:val="00C43253"/>
    <w:rsid w:val="00C74E3F"/>
    <w:rsid w:val="00C75973"/>
    <w:rsid w:val="00C90D99"/>
    <w:rsid w:val="00CA4349"/>
    <w:rsid w:val="00CC019F"/>
    <w:rsid w:val="00CC3E72"/>
    <w:rsid w:val="00CD0B3E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A7AB4"/>
    <w:rsid w:val="00DC3FFC"/>
    <w:rsid w:val="00DE2A9A"/>
    <w:rsid w:val="00DF5D1F"/>
    <w:rsid w:val="00DF605F"/>
    <w:rsid w:val="00E11ECC"/>
    <w:rsid w:val="00E3543A"/>
    <w:rsid w:val="00E452E2"/>
    <w:rsid w:val="00E57668"/>
    <w:rsid w:val="00E7438B"/>
    <w:rsid w:val="00E83CDA"/>
    <w:rsid w:val="00E973AD"/>
    <w:rsid w:val="00EA0447"/>
    <w:rsid w:val="00EA375D"/>
    <w:rsid w:val="00EB1570"/>
    <w:rsid w:val="00EB3C9A"/>
    <w:rsid w:val="00EB5DB7"/>
    <w:rsid w:val="00EC5677"/>
    <w:rsid w:val="00EC62D5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A6CCD"/>
    <w:rsid w:val="00FD7E42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1261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7</cp:revision>
  <cp:lastPrinted>2024-11-28T14:11:00Z</cp:lastPrinted>
  <dcterms:created xsi:type="dcterms:W3CDTF">2025-05-28T14:34:00Z</dcterms:created>
  <dcterms:modified xsi:type="dcterms:W3CDTF">2025-05-29T12:24:00Z</dcterms:modified>
</cp:coreProperties>
</file>